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6721B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721BD" w:rsidRDefault="006721BD">
            <w:pPr>
              <w:spacing w:before="120"/>
              <w:jc w:val="center"/>
              <w:rPr>
                <w:sz w:val="26"/>
                <w:szCs w:val="26"/>
              </w:rPr>
            </w:pPr>
            <w:bookmarkStart w:id="0" w:name="_GoBack"/>
            <w:r w:rsidRPr="006721BD">
              <w:rPr>
                <w:b/>
                <w:bCs/>
                <w:sz w:val="26"/>
                <w:szCs w:val="26"/>
              </w:rPr>
              <w:t>BỘ TÀI CHÍNH</w:t>
            </w:r>
            <w:r w:rsidRPr="006721BD">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721BD" w:rsidRDefault="006721BD">
            <w:pPr>
              <w:spacing w:before="120"/>
              <w:jc w:val="center"/>
              <w:rPr>
                <w:sz w:val="26"/>
                <w:szCs w:val="26"/>
              </w:rPr>
            </w:pPr>
            <w:r w:rsidRPr="006721BD">
              <w:rPr>
                <w:b/>
                <w:bCs/>
                <w:sz w:val="26"/>
                <w:szCs w:val="26"/>
              </w:rPr>
              <w:t>CỘNG HÒA XÃ HỘI CHỦ NGHĨA VIỆT NAM</w:t>
            </w:r>
            <w:r w:rsidRPr="006721BD">
              <w:rPr>
                <w:b/>
                <w:bCs/>
                <w:sz w:val="26"/>
                <w:szCs w:val="26"/>
              </w:rPr>
              <w:br/>
              <w:t>Độc lập - Tự do - Hạnh phúc</w:t>
            </w:r>
            <w:r w:rsidRPr="006721BD">
              <w:rPr>
                <w:b/>
                <w:bCs/>
                <w:sz w:val="26"/>
                <w:szCs w:val="26"/>
              </w:rPr>
              <w:br/>
              <w:t>---------------</w:t>
            </w:r>
          </w:p>
        </w:tc>
      </w:tr>
      <w:tr w:rsidR="00000000" w:rsidRPr="006721B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721BD" w:rsidRDefault="006721BD">
            <w:pPr>
              <w:spacing w:before="120"/>
              <w:jc w:val="center"/>
              <w:rPr>
                <w:sz w:val="26"/>
                <w:szCs w:val="26"/>
              </w:rPr>
            </w:pPr>
            <w:r w:rsidRPr="006721BD">
              <w:rPr>
                <w:sz w:val="26"/>
                <w:szCs w:val="26"/>
              </w:rPr>
              <w:t>Số: 985/QĐ-BTC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721BD" w:rsidRDefault="006721BD">
            <w:pPr>
              <w:spacing w:before="120"/>
              <w:jc w:val="right"/>
              <w:rPr>
                <w:sz w:val="26"/>
                <w:szCs w:val="26"/>
              </w:rPr>
            </w:pPr>
            <w:r w:rsidRPr="006721BD">
              <w:rPr>
                <w:i/>
                <w:iCs/>
                <w:sz w:val="26"/>
                <w:szCs w:val="26"/>
              </w:rPr>
              <w:t>Hà Nội, ngày 16 tháng 5 năm 2023</w:t>
            </w:r>
          </w:p>
        </w:tc>
      </w:tr>
    </w:tbl>
    <w:p w:rsidR="00000000" w:rsidRPr="006721BD" w:rsidRDefault="006721BD">
      <w:pPr>
        <w:spacing w:before="120" w:after="280" w:afterAutospacing="1"/>
        <w:rPr>
          <w:sz w:val="26"/>
          <w:szCs w:val="26"/>
        </w:rPr>
      </w:pPr>
      <w:r w:rsidRPr="006721BD">
        <w:rPr>
          <w:sz w:val="26"/>
          <w:szCs w:val="26"/>
        </w:rPr>
        <w:t> </w:t>
      </w:r>
    </w:p>
    <w:p w:rsidR="00000000" w:rsidRPr="006721BD" w:rsidRDefault="006721BD">
      <w:pPr>
        <w:spacing w:before="120" w:after="280" w:afterAutospacing="1"/>
        <w:jc w:val="center"/>
        <w:rPr>
          <w:sz w:val="26"/>
          <w:szCs w:val="26"/>
        </w:rPr>
      </w:pPr>
      <w:bookmarkStart w:id="1" w:name="loai_1"/>
      <w:r w:rsidRPr="006721BD">
        <w:rPr>
          <w:b/>
          <w:bCs/>
          <w:sz w:val="26"/>
          <w:szCs w:val="26"/>
        </w:rPr>
        <w:t>QUYẾT ĐỊNH</w:t>
      </w:r>
      <w:bookmarkEnd w:id="1"/>
    </w:p>
    <w:p w:rsidR="00000000" w:rsidRPr="006721BD" w:rsidRDefault="006721BD">
      <w:pPr>
        <w:spacing w:before="120" w:after="280" w:afterAutospacing="1"/>
        <w:jc w:val="center"/>
        <w:rPr>
          <w:sz w:val="26"/>
          <w:szCs w:val="26"/>
        </w:rPr>
      </w:pPr>
      <w:bookmarkStart w:id="2" w:name="loai_1_name"/>
      <w:r w:rsidRPr="006721BD">
        <w:rPr>
          <w:sz w:val="26"/>
          <w:szCs w:val="26"/>
        </w:rPr>
        <w:t>VỀ VIỆC CÔNG BỐ CÔNG KHAI DỰ TOÁN NGÂN SÁCH NHÀ NƯỚC NĂM 2023 CỦA BỘ TÀI CHÍNH</w:t>
      </w:r>
      <w:bookmarkEnd w:id="2"/>
    </w:p>
    <w:p w:rsidR="00000000" w:rsidRPr="006721BD" w:rsidRDefault="006721BD">
      <w:pPr>
        <w:spacing w:before="120" w:after="280" w:afterAutospacing="1"/>
        <w:jc w:val="center"/>
        <w:rPr>
          <w:sz w:val="26"/>
          <w:szCs w:val="26"/>
        </w:rPr>
      </w:pPr>
      <w:r w:rsidRPr="006721BD">
        <w:rPr>
          <w:b/>
          <w:bCs/>
          <w:sz w:val="26"/>
          <w:szCs w:val="26"/>
        </w:rPr>
        <w:t>BỘ TRƯỞNG BỘ T</w:t>
      </w:r>
      <w:r w:rsidRPr="006721BD">
        <w:rPr>
          <w:b/>
          <w:bCs/>
          <w:sz w:val="26"/>
          <w:szCs w:val="26"/>
        </w:rPr>
        <w:t>ÀI CHÍNH</w:t>
      </w:r>
    </w:p>
    <w:p w:rsidR="00000000" w:rsidRPr="006721BD" w:rsidRDefault="006721BD">
      <w:pPr>
        <w:spacing w:before="120" w:after="280" w:afterAutospacing="1"/>
        <w:rPr>
          <w:sz w:val="26"/>
          <w:szCs w:val="26"/>
        </w:rPr>
      </w:pPr>
      <w:r w:rsidRPr="006721BD">
        <w:rPr>
          <w:i/>
          <w:iCs/>
          <w:sz w:val="26"/>
          <w:szCs w:val="26"/>
        </w:rPr>
        <w:t>Căn cứ Nghị định số 14/2023/NĐ-CP ngày 20/4/2023 của Chính phủ quy định chức năng, nhiệm vụ, quyền hạn và cơ cấu tổ chức của Bộ Tài chính;</w:t>
      </w:r>
    </w:p>
    <w:p w:rsidR="00000000" w:rsidRPr="006721BD" w:rsidRDefault="006721BD">
      <w:pPr>
        <w:spacing w:before="120" w:after="280" w:afterAutospacing="1"/>
        <w:rPr>
          <w:sz w:val="26"/>
          <w:szCs w:val="26"/>
        </w:rPr>
      </w:pPr>
      <w:r w:rsidRPr="006721BD">
        <w:rPr>
          <w:i/>
          <w:iCs/>
          <w:sz w:val="26"/>
          <w:szCs w:val="26"/>
        </w:rPr>
        <w:t xml:space="preserve">Căn cứ Nghị định số 163/2016/NĐ-CP ngày 21/12/2016 của Chính phủ quy định chi tiết thi hành một số điều của </w:t>
      </w:r>
      <w:r w:rsidRPr="006721BD">
        <w:rPr>
          <w:i/>
          <w:iCs/>
          <w:sz w:val="26"/>
          <w:szCs w:val="26"/>
        </w:rPr>
        <w:t>Luật Ngân sách nhà nước;</w:t>
      </w:r>
    </w:p>
    <w:p w:rsidR="00000000" w:rsidRPr="006721BD" w:rsidRDefault="006721BD">
      <w:pPr>
        <w:spacing w:before="120" w:after="280" w:afterAutospacing="1"/>
        <w:rPr>
          <w:sz w:val="26"/>
          <w:szCs w:val="26"/>
        </w:rPr>
      </w:pPr>
      <w:r w:rsidRPr="006721BD">
        <w:rPr>
          <w:i/>
          <w:iCs/>
          <w:sz w:val="26"/>
          <w:szCs w:val="26"/>
        </w:rPr>
        <w:t>Căn cứ Thông tư số 61/2017/TT-BTC ngày 15/6/2017 của Bộ trưởng Bộ Tài chính hướng dẫn thực hiện công khai ngân sách đối với đơn vị dự toán ngân sách, các tổ chức được ngân sách nhà nước hỗ trợ;</w:t>
      </w:r>
    </w:p>
    <w:p w:rsidR="00000000" w:rsidRPr="006721BD" w:rsidRDefault="006721BD">
      <w:pPr>
        <w:spacing w:before="120" w:after="280" w:afterAutospacing="1"/>
        <w:rPr>
          <w:sz w:val="26"/>
          <w:szCs w:val="26"/>
        </w:rPr>
      </w:pPr>
      <w:r w:rsidRPr="006721BD">
        <w:rPr>
          <w:i/>
          <w:iCs/>
          <w:sz w:val="26"/>
          <w:szCs w:val="26"/>
        </w:rPr>
        <w:t>Căn cứ Thông tư số 90/2018/TT-BTC ngà</w:t>
      </w:r>
      <w:r w:rsidRPr="006721BD">
        <w:rPr>
          <w:i/>
          <w:iCs/>
          <w:sz w:val="26"/>
          <w:szCs w:val="26"/>
        </w:rPr>
        <w:t>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w:t>
      </w:r>
      <w:r w:rsidRPr="006721BD">
        <w:rPr>
          <w:i/>
          <w:iCs/>
          <w:sz w:val="26"/>
          <w:szCs w:val="26"/>
        </w:rPr>
        <w:t>ợ;</w:t>
      </w:r>
    </w:p>
    <w:p w:rsidR="00000000" w:rsidRPr="006721BD" w:rsidRDefault="006721BD">
      <w:pPr>
        <w:spacing w:before="120" w:after="280" w:afterAutospacing="1"/>
        <w:rPr>
          <w:sz w:val="26"/>
          <w:szCs w:val="26"/>
        </w:rPr>
      </w:pPr>
      <w:r w:rsidRPr="006721BD">
        <w:rPr>
          <w:i/>
          <w:iCs/>
          <w:sz w:val="26"/>
          <w:szCs w:val="26"/>
        </w:rPr>
        <w:t>Căn cứ Quyết định số 2602/QĐ-BTC ngày 07/12/2022 của Bộ Tài chính về việc giao dự toán ngân sách nhà nước năm 2023;</w:t>
      </w:r>
    </w:p>
    <w:p w:rsidR="00000000" w:rsidRPr="006721BD" w:rsidRDefault="006721BD">
      <w:pPr>
        <w:spacing w:before="120" w:after="280" w:afterAutospacing="1"/>
        <w:rPr>
          <w:sz w:val="26"/>
          <w:szCs w:val="26"/>
        </w:rPr>
      </w:pPr>
      <w:r w:rsidRPr="006721BD">
        <w:rPr>
          <w:i/>
          <w:iCs/>
          <w:sz w:val="26"/>
          <w:szCs w:val="26"/>
        </w:rPr>
        <w:t>Căn cứ Công văn số 1296/BTTTT-KHTC ngày 12/4/2023 của Bộ Thông tin và Truyền thông về việc thống nhất kế hoạch thực hiện Đề án hỗ trợ thô</w:t>
      </w:r>
      <w:r w:rsidRPr="006721BD">
        <w:rPr>
          <w:i/>
          <w:iCs/>
          <w:sz w:val="26"/>
          <w:szCs w:val="26"/>
        </w:rPr>
        <w:t>ng tin, tuyên truyền về dân tộc, tôn giáo trong năm 2023;</w:t>
      </w:r>
    </w:p>
    <w:p w:rsidR="00000000" w:rsidRPr="006721BD" w:rsidRDefault="006721BD">
      <w:pPr>
        <w:spacing w:before="120" w:after="280" w:afterAutospacing="1"/>
        <w:rPr>
          <w:sz w:val="26"/>
          <w:szCs w:val="26"/>
        </w:rPr>
      </w:pPr>
      <w:r w:rsidRPr="006721BD">
        <w:rPr>
          <w:i/>
          <w:iCs/>
          <w:sz w:val="26"/>
          <w:szCs w:val="26"/>
        </w:rPr>
        <w:t>Theo đề nghị của Cục trưởng Cục Kế hoạch - Tài chính.</w:t>
      </w:r>
    </w:p>
    <w:p w:rsidR="00000000" w:rsidRPr="006721BD" w:rsidRDefault="006721BD">
      <w:pPr>
        <w:spacing w:before="120" w:after="280" w:afterAutospacing="1"/>
        <w:jc w:val="center"/>
        <w:rPr>
          <w:sz w:val="26"/>
          <w:szCs w:val="26"/>
        </w:rPr>
      </w:pPr>
      <w:r w:rsidRPr="006721BD">
        <w:rPr>
          <w:b/>
          <w:bCs/>
          <w:sz w:val="26"/>
          <w:szCs w:val="26"/>
        </w:rPr>
        <w:t>QUYẾT ĐỊNH:</w:t>
      </w:r>
    </w:p>
    <w:p w:rsidR="00000000" w:rsidRPr="006721BD" w:rsidRDefault="006721BD">
      <w:pPr>
        <w:spacing w:before="120" w:after="280" w:afterAutospacing="1"/>
        <w:rPr>
          <w:sz w:val="26"/>
          <w:szCs w:val="26"/>
        </w:rPr>
      </w:pPr>
      <w:bookmarkStart w:id="3" w:name="dieu_1"/>
      <w:r w:rsidRPr="006721BD">
        <w:rPr>
          <w:b/>
          <w:bCs/>
          <w:sz w:val="26"/>
          <w:szCs w:val="26"/>
        </w:rPr>
        <w:t>Điều 1.</w:t>
      </w:r>
      <w:r w:rsidRPr="006721BD">
        <w:rPr>
          <w:sz w:val="26"/>
          <w:szCs w:val="26"/>
        </w:rPr>
        <w:t xml:space="preserve"> Công bố công khai số liệu dự toán ngân sách nhà nước sự nghiệp văn hóa thông tin năm 2023 của Bộ Tài chính (chi tiết theo ph</w:t>
      </w:r>
      <w:r w:rsidRPr="006721BD">
        <w:rPr>
          <w:sz w:val="26"/>
          <w:szCs w:val="26"/>
        </w:rPr>
        <w:t>ụ lục dính kèm).</w:t>
      </w:r>
      <w:bookmarkEnd w:id="3"/>
    </w:p>
    <w:p w:rsidR="00000000" w:rsidRPr="006721BD" w:rsidRDefault="006721BD">
      <w:pPr>
        <w:spacing w:before="120" w:after="280" w:afterAutospacing="1"/>
        <w:rPr>
          <w:sz w:val="26"/>
          <w:szCs w:val="26"/>
        </w:rPr>
      </w:pPr>
      <w:bookmarkStart w:id="4" w:name="dieu_2"/>
      <w:r w:rsidRPr="006721BD">
        <w:rPr>
          <w:b/>
          <w:bCs/>
          <w:sz w:val="26"/>
          <w:szCs w:val="26"/>
        </w:rPr>
        <w:t>Điều 2.</w:t>
      </w:r>
      <w:r w:rsidRPr="006721BD">
        <w:rPr>
          <w:sz w:val="26"/>
          <w:szCs w:val="26"/>
        </w:rPr>
        <w:t xml:space="preserve"> Quyết định này có hiệu lực thi hành kể từ ngày ký.</w:t>
      </w:r>
      <w:bookmarkEnd w:id="4"/>
    </w:p>
    <w:p w:rsidR="00000000" w:rsidRPr="006721BD" w:rsidRDefault="006721BD">
      <w:pPr>
        <w:spacing w:before="120" w:after="280" w:afterAutospacing="1"/>
        <w:rPr>
          <w:sz w:val="26"/>
          <w:szCs w:val="26"/>
        </w:rPr>
      </w:pPr>
      <w:bookmarkStart w:id="5" w:name="dieu_3"/>
      <w:r w:rsidRPr="006721BD">
        <w:rPr>
          <w:b/>
          <w:bCs/>
          <w:sz w:val="26"/>
          <w:szCs w:val="26"/>
        </w:rPr>
        <w:lastRenderedPageBreak/>
        <w:t>Điều 3.</w:t>
      </w:r>
      <w:r w:rsidRPr="006721BD">
        <w:rPr>
          <w:sz w:val="26"/>
          <w:szCs w:val="26"/>
        </w:rPr>
        <w:t xml:space="preserve"> Cục trưởng Cục Kế hoạch - Tài chính, Chánh Văn phòng Bộ và Thủ trưởng các đơn vị có liên quan chịu trách nhiệm thi hành Quyết định này./.</w:t>
      </w:r>
      <w:bookmarkEnd w:id="5"/>
    </w:p>
    <w:p w:rsidR="00000000" w:rsidRPr="006721BD" w:rsidRDefault="006721BD">
      <w:pPr>
        <w:spacing w:before="120" w:after="280" w:afterAutospacing="1"/>
        <w:rPr>
          <w:sz w:val="26"/>
          <w:szCs w:val="26"/>
        </w:rPr>
      </w:pPr>
      <w:r w:rsidRPr="006721B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6721B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721BD" w:rsidRDefault="006721BD">
            <w:pPr>
              <w:spacing w:before="120"/>
              <w:rPr>
                <w:sz w:val="26"/>
                <w:szCs w:val="26"/>
              </w:rPr>
            </w:pPr>
            <w:r w:rsidRPr="006721BD">
              <w:rPr>
                <w:b/>
                <w:bCs/>
                <w:i/>
                <w:iCs/>
                <w:sz w:val="26"/>
                <w:szCs w:val="26"/>
              </w:rPr>
              <w:br/>
              <w:t>Nơi nhận:</w:t>
            </w:r>
            <w:r w:rsidRPr="006721BD">
              <w:rPr>
                <w:b/>
                <w:bCs/>
                <w:i/>
                <w:iCs/>
                <w:sz w:val="26"/>
                <w:szCs w:val="26"/>
              </w:rPr>
              <w:br/>
            </w:r>
            <w:r w:rsidRPr="006721BD">
              <w:rPr>
                <w:sz w:val="26"/>
                <w:szCs w:val="26"/>
              </w:rPr>
              <w:t>- Như Điều 3;</w:t>
            </w:r>
            <w:r w:rsidRPr="006721BD">
              <w:rPr>
                <w:sz w:val="26"/>
                <w:szCs w:val="26"/>
              </w:rPr>
              <w:br/>
              <w:t>- Bộ Tà</w:t>
            </w:r>
            <w:r w:rsidRPr="006721BD">
              <w:rPr>
                <w:sz w:val="26"/>
                <w:szCs w:val="26"/>
              </w:rPr>
              <w:t>i chính (Vụ NSNN, Vụ HCSN);</w:t>
            </w:r>
            <w:r w:rsidRPr="006721BD">
              <w:rPr>
                <w:sz w:val="26"/>
                <w:szCs w:val="26"/>
              </w:rPr>
              <w:br/>
              <w:t>- Kho bạc nhà nước;</w:t>
            </w:r>
            <w:r w:rsidRPr="006721BD">
              <w:rPr>
                <w:sz w:val="26"/>
                <w:szCs w:val="26"/>
              </w:rPr>
              <w:br/>
              <w:t>- Các đơn vị dự toán thuộc Bộ Tài chính;</w:t>
            </w:r>
            <w:r w:rsidRPr="006721BD">
              <w:rPr>
                <w:sz w:val="26"/>
                <w:szCs w:val="26"/>
              </w:rPr>
              <w:br/>
              <w:t>- Cục TH&amp;TKTC (để công khai);</w:t>
            </w:r>
            <w:r w:rsidRPr="006721BD">
              <w:rPr>
                <w:sz w:val="26"/>
                <w:szCs w:val="2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6721BD" w:rsidRDefault="006721BD">
            <w:pPr>
              <w:spacing w:before="120"/>
              <w:jc w:val="center"/>
              <w:rPr>
                <w:sz w:val="26"/>
                <w:szCs w:val="26"/>
              </w:rPr>
            </w:pPr>
            <w:r w:rsidRPr="006721BD">
              <w:rPr>
                <w:b/>
                <w:bCs/>
                <w:sz w:val="26"/>
                <w:szCs w:val="26"/>
              </w:rPr>
              <w:t>KT. BỘ TRƯỞNG</w:t>
            </w:r>
            <w:r w:rsidRPr="006721BD">
              <w:rPr>
                <w:b/>
                <w:bCs/>
                <w:sz w:val="26"/>
                <w:szCs w:val="26"/>
              </w:rPr>
              <w:br/>
              <w:t>THỨ TRƯỞNG</w:t>
            </w:r>
            <w:r w:rsidRPr="006721BD">
              <w:rPr>
                <w:b/>
                <w:bCs/>
                <w:sz w:val="26"/>
                <w:szCs w:val="26"/>
              </w:rPr>
              <w:br/>
            </w:r>
            <w:r w:rsidRPr="006721BD">
              <w:rPr>
                <w:b/>
                <w:bCs/>
                <w:sz w:val="26"/>
                <w:szCs w:val="26"/>
              </w:rPr>
              <w:br/>
            </w:r>
            <w:r w:rsidRPr="006721BD">
              <w:rPr>
                <w:b/>
                <w:bCs/>
                <w:sz w:val="26"/>
                <w:szCs w:val="26"/>
              </w:rPr>
              <w:br/>
            </w:r>
            <w:r w:rsidRPr="006721BD">
              <w:rPr>
                <w:b/>
                <w:bCs/>
                <w:sz w:val="26"/>
                <w:szCs w:val="26"/>
              </w:rPr>
              <w:br/>
            </w:r>
            <w:r w:rsidRPr="006721BD">
              <w:rPr>
                <w:b/>
                <w:bCs/>
                <w:sz w:val="26"/>
                <w:szCs w:val="26"/>
              </w:rPr>
              <w:br/>
              <w:t>Nguyễn Đức Chi</w:t>
            </w:r>
          </w:p>
        </w:tc>
      </w:tr>
    </w:tbl>
    <w:p w:rsidR="00000000" w:rsidRPr="006721BD" w:rsidRDefault="006721BD">
      <w:pPr>
        <w:spacing w:before="120" w:after="280" w:afterAutospacing="1"/>
        <w:jc w:val="center"/>
        <w:rPr>
          <w:sz w:val="26"/>
          <w:szCs w:val="26"/>
        </w:rPr>
      </w:pPr>
      <w:r w:rsidRPr="006721BD">
        <w:rPr>
          <w:b/>
          <w:bCs/>
          <w:sz w:val="26"/>
          <w:szCs w:val="26"/>
        </w:rPr>
        <w:t> </w:t>
      </w:r>
    </w:p>
    <w:p w:rsidR="00000000" w:rsidRPr="006721BD" w:rsidRDefault="006721BD">
      <w:pPr>
        <w:spacing w:before="120" w:after="280" w:afterAutospacing="1"/>
        <w:jc w:val="center"/>
        <w:rPr>
          <w:sz w:val="26"/>
          <w:szCs w:val="26"/>
        </w:rPr>
      </w:pPr>
      <w:bookmarkStart w:id="6" w:name="chuong_pl"/>
      <w:r w:rsidRPr="006721BD">
        <w:rPr>
          <w:b/>
          <w:bCs/>
          <w:sz w:val="26"/>
          <w:szCs w:val="26"/>
        </w:rPr>
        <w:t>DỰ TOÁN CHI NGÂN SÁCH SỰ NGHIỆP VĂN HÓA THÔNG TIN ĐƯỢC GIAO VÀ PHÂN BỔ CH</w:t>
      </w:r>
      <w:r w:rsidRPr="006721BD">
        <w:rPr>
          <w:b/>
          <w:bCs/>
          <w:sz w:val="26"/>
          <w:szCs w:val="26"/>
        </w:rPr>
        <w:t>O CÁC ĐƠN VỊ THUỘC BỘ TÀI CHÍNH NĂM 2023</w:t>
      </w:r>
      <w:bookmarkEnd w:id="6"/>
    </w:p>
    <w:p w:rsidR="00000000" w:rsidRPr="006721BD" w:rsidRDefault="006721BD">
      <w:pPr>
        <w:spacing w:before="120" w:after="280" w:afterAutospacing="1"/>
        <w:jc w:val="center"/>
        <w:rPr>
          <w:sz w:val="26"/>
          <w:szCs w:val="26"/>
        </w:rPr>
      </w:pPr>
      <w:r w:rsidRPr="006721BD">
        <w:rPr>
          <w:i/>
          <w:iCs/>
          <w:sz w:val="26"/>
          <w:szCs w:val="26"/>
        </w:rPr>
        <w:t>(Kèm theo Quyết định số 985/QĐ-BTC ngày 16/5/2023 của Bộ Tài chính)</w:t>
      </w:r>
    </w:p>
    <w:p w:rsidR="00000000" w:rsidRPr="006721BD" w:rsidRDefault="006721BD">
      <w:pPr>
        <w:spacing w:before="120" w:after="280" w:afterAutospacing="1"/>
        <w:jc w:val="center"/>
        <w:rPr>
          <w:sz w:val="26"/>
          <w:szCs w:val="26"/>
        </w:rPr>
      </w:pPr>
      <w:r w:rsidRPr="006721BD">
        <w:rPr>
          <w:i/>
          <w:iCs/>
          <w:sz w:val="26"/>
          <w:szCs w:val="26"/>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6"/>
        <w:gridCol w:w="365"/>
        <w:gridCol w:w="578"/>
        <w:gridCol w:w="277"/>
        <w:gridCol w:w="274"/>
        <w:gridCol w:w="274"/>
        <w:gridCol w:w="266"/>
        <w:gridCol w:w="274"/>
        <w:gridCol w:w="355"/>
        <w:gridCol w:w="312"/>
        <w:gridCol w:w="325"/>
        <w:gridCol w:w="337"/>
        <w:gridCol w:w="293"/>
        <w:gridCol w:w="350"/>
        <w:gridCol w:w="293"/>
        <w:gridCol w:w="293"/>
        <w:gridCol w:w="293"/>
        <w:gridCol w:w="386"/>
        <w:gridCol w:w="325"/>
        <w:gridCol w:w="325"/>
        <w:gridCol w:w="293"/>
        <w:gridCol w:w="540"/>
        <w:gridCol w:w="399"/>
        <w:gridCol w:w="399"/>
        <w:gridCol w:w="399"/>
        <w:gridCol w:w="293"/>
        <w:gridCol w:w="293"/>
        <w:gridCol w:w="293"/>
      </w:tblGrid>
      <w:tr w:rsidR="00EC2B6F" w:rsidRPr="006721BD" w:rsidTr="00EC2B6F">
        <w:tc>
          <w:tcPr>
            <w:tcW w:w="1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STT</w:t>
            </w:r>
          </w:p>
        </w:tc>
        <w:tc>
          <w:tcPr>
            <w:tcW w:w="7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NỘI DUNG</w:t>
            </w:r>
          </w:p>
        </w:tc>
        <w:tc>
          <w:tcPr>
            <w:tcW w:w="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Tổng số được giao</w:t>
            </w:r>
            <w:r w:rsidRPr="006721BD">
              <w:rPr>
                <w:b/>
                <w:bCs/>
                <w:sz w:val="26"/>
                <w:szCs w:val="26"/>
              </w:rPr>
              <w:br/>
            </w:r>
            <w:r w:rsidRPr="006721BD">
              <w:rPr>
                <w:sz w:val="26"/>
                <w:szCs w:val="26"/>
              </w:rPr>
              <w:t>(Quyết định số 2602/QĐ-BTC ngày 07/12/2022)</w:t>
            </w:r>
          </w:p>
        </w:tc>
        <w:tc>
          <w:tcPr>
            <w:tcW w:w="1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Tổng số đã phân bổ (*)</w:t>
            </w:r>
          </w:p>
        </w:tc>
        <w:tc>
          <w:tcPr>
            <w:tcW w:w="3772" w:type="pct"/>
            <w:gridSpan w:val="2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Trong đó</w:t>
            </w:r>
          </w:p>
        </w:tc>
      </w:tr>
      <w:tr w:rsidR="00000000" w:rsidRPr="006721B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6721BD" w:rsidRDefault="006721BD">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21BD" w:rsidRDefault="006721BD">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21BD" w:rsidRDefault="006721BD">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21BD" w:rsidRDefault="006721BD">
            <w:pPr>
              <w:spacing w:before="120"/>
              <w:jc w:val="center"/>
              <w:rPr>
                <w:sz w:val="26"/>
                <w:szCs w:val="26"/>
              </w:rPr>
            </w:pP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Tổng cục Thuế</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Tổng cục Hải quan</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Kho bạc Nhà nước</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 xml:space="preserve">Tổng cục Dự trữ </w:t>
            </w:r>
            <w:r w:rsidRPr="006721BD">
              <w:rPr>
                <w:b/>
                <w:bCs/>
                <w:sz w:val="26"/>
                <w:szCs w:val="26"/>
              </w:rPr>
              <w:t>Nhà nước</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Ủy ban Chứng khoán Nhà nước</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Kế hoạch - Tài chính</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Cơ quan đại diện Văn phòng Bộ Tài chính tại TP HCM</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Tin học và Thống kê tài chính</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Quản lý Công sản</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Tài chính doanh nghiệp</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Quản lý Giá</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Quản lý, giám sát bảo hiểm</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Cục Quản lý Nợ</w:t>
            </w:r>
            <w:r w:rsidRPr="006721BD">
              <w:rPr>
                <w:b/>
                <w:bCs/>
                <w:sz w:val="26"/>
                <w:szCs w:val="26"/>
              </w:rPr>
              <w:t xml:space="preserve"> và Tài chính đối ngoại</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BQL các chương trình, dự án sử dụng nguồn tài trợ và vốn vay nước ngoài CQ Bộ Tài chính</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Văn phòng 389</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Viện Chiến lược và Chính sách tài chính</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Học viện Tài chính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Đại học Tài chính - Marketing</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Trường Đại học Tài chính Kế toán</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Trường Đ</w:t>
            </w:r>
            <w:r w:rsidRPr="006721BD">
              <w:rPr>
                <w:b/>
                <w:bCs/>
                <w:sz w:val="26"/>
                <w:szCs w:val="26"/>
              </w:rPr>
              <w:t>ại học Tài chính Quản trị Kinh doanh</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Trường Bồi dưỡng cán bộ Tài chính</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Thời báo Tài chính Việt Nam</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Nhà xuất bản Tài chính</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Tạp chí Tài chính</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 xml:space="preserve">Tổng số thu, chi, nộp ngân sách phí, lệ phí, nguồn kinh </w:t>
            </w:r>
            <w:r w:rsidRPr="006721BD">
              <w:rPr>
                <w:b/>
                <w:bCs/>
                <w:sz w:val="26"/>
                <w:szCs w:val="26"/>
              </w:rPr>
              <w:t>phí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Tổng số thu phí, lệ phí, nguồn kinh phí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Lệ phí</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Lệ phí chứng khoán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Hải quan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Quản lý và giám sát hoạt động chứng khoán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cho vay lại và phí bảo lãnh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thẩm định cấp giấy chứng nhận đủ điều kiện kinh doanh dịch vụ thẩm định giá</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Quản lý và giá</w:t>
            </w:r>
            <w:r w:rsidRPr="006721BD">
              <w:rPr>
                <w:sz w:val="26"/>
                <w:szCs w:val="26"/>
              </w:rPr>
              <w:t>m sát hoạt động bảo hiểm</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Nguồn kinh phí khác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Thu nghiệp vụ</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II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từ nguồn thu phí, lệ phí, n</w:t>
            </w:r>
            <w:r w:rsidRPr="006721BD">
              <w:rPr>
                <w:b/>
                <w:bCs/>
                <w:sz w:val="26"/>
                <w:szCs w:val="26"/>
              </w:rPr>
              <w:t>guồn kinh phí khác được để lại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lastRenderedPageBreak/>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Chi quản lý hành chính (Khoản 341)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thực hiện chế độ tự chủ</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b</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không thực hiện chế độ tự chủ</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III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Số phí, lệ phí, nguồn kinh phí khác nộp NSNN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Lệ phí</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Lệ phí chứng khoán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Hải quan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Quản lý và giám sát hoạt động chứng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cho vay lãi và phí bảo lãnh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thẩm định cấp giấy chứng nhận đủ điều kiện kinh doanh dịch vụ thẩm định giá</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Phí Quản lý và giám sát hoạt động bảo hiểm</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Thu sự nghiệp, dịch vụ, nghiệp vụ</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B</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DỰ TOÁN CHI NGÂN SÁCH NHÀ NƯỚC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1.600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1.000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600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Nguồn ngân sách trong nước</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1.600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1.000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600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quản lý hành chính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thực hiện chế độ tự chủ</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không thực hiện chế độ tự chủ</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hoạt động kinh tế</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2.1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 xml:space="preserve">Kinh phí nhiệm vụ thường </w:t>
            </w:r>
            <w:r w:rsidRPr="006721BD">
              <w:rPr>
                <w:sz w:val="26"/>
                <w:szCs w:val="26"/>
              </w:rPr>
              <w:t>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2.2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khoa học và công nghệ</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3 1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w:t>
            </w:r>
            <w:r w:rsidRPr="006721BD">
              <w:rPr>
                <w:sz w:val="26"/>
                <w:szCs w:val="26"/>
              </w:rPr>
              <w:t xml:space="preserve"> thực hiện nhiệm vụ khoa học công nghệ</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i/>
                <w:iCs/>
                <w:sz w:val="26"/>
                <w:szCs w:val="26"/>
              </w:rPr>
              <w:t>Nhiệm vụ khoa học công nghệ cấp Bộ</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i/>
                <w:iCs/>
                <w:sz w:val="26"/>
                <w:szCs w:val="26"/>
              </w:rPr>
              <w:t>Nhiệm vụ khoa học công nghệ cấp cơ sở</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i/>
                <w:i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3.2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3.3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giáo dục, đào tạo và dạy nghề</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4.1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4.2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 xml:space="preserve">Chi sự nghiệp văn hóa thông </w:t>
            </w:r>
            <w:r w:rsidRPr="006721BD">
              <w:rPr>
                <w:b/>
                <w:bCs/>
                <w:sz w:val="26"/>
                <w:szCs w:val="26"/>
              </w:rPr>
              <w:t>tin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1.600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1.000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600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5.1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5.2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1.000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600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bảo đảm xã hội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6.1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6.2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y tế, dân số và gia đình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7.1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7.2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bảo vệ môi trường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lastRenderedPageBreak/>
              <w:t>8.1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8.2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phát thanh, truyền hình.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9.1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9.2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không thường</w:t>
            </w:r>
            <w:r w:rsidRPr="006721BD">
              <w:rPr>
                <w:sz w:val="26"/>
                <w:szCs w:val="26"/>
              </w:rPr>
              <w:t xml:space="preserve">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10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thể dục thể thao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10.1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Kinh phí nhiệm vụ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10.2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 xml:space="preserve">Kinh phí nhiệm </w:t>
            </w:r>
            <w:r w:rsidRPr="006721BD">
              <w:rPr>
                <w:sz w:val="26"/>
                <w:szCs w:val="26"/>
              </w:rPr>
              <w:t>vụ không thường xuyên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II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Nguồn vốn viện trợ</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quản lý hành chính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sz w:val="26"/>
                <w:szCs w:val="26"/>
              </w:rPr>
              <w:t>1.1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sz w:val="26"/>
                <w:szCs w:val="26"/>
              </w:rPr>
              <w:t>Dự án hỗ trợ hiện đại hó</w:t>
            </w:r>
            <w:r w:rsidRPr="006721BD">
              <w:rPr>
                <w:sz w:val="26"/>
                <w:szCs w:val="26"/>
              </w:rPr>
              <w:t>a hệ thống thuế</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khoa học và công nghệ</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giáo dục, đào tạo và dạy nghề</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y tế, dân số và gia đình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bảo đảm xã hội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hoạt động kinh tế</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w:t>
            </w:r>
            <w:r w:rsidRPr="006721BD">
              <w:rPr>
                <w:b/>
                <w:bCs/>
                <w:sz w:val="26"/>
                <w:szCs w:val="26"/>
              </w:rPr>
              <w:t xml:space="preserve"> nghiệp bảo vệ môi trường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văn hóa thông tin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phát thanh, truyền hình, thông tấn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10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thể dục thể thao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III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Nguồn vay nợ nước ngoài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quản lý hành chính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khoa học và công nghệ</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giáo dục, đào tạo và dạy nghề</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y tế, dân số và gia đình</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bảo đảm xã hội</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hoạt động kinh tế</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bảo vệ môi trường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văn hóa thông tin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phát thanh, truyền hình, thông tấn</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r w:rsidR="00000000" w:rsidRPr="006721BD">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center"/>
              <w:rPr>
                <w:sz w:val="26"/>
                <w:szCs w:val="26"/>
              </w:rPr>
            </w:pPr>
            <w:r w:rsidRPr="006721BD">
              <w:rPr>
                <w:b/>
                <w:bCs/>
                <w:sz w:val="26"/>
                <w:szCs w:val="26"/>
              </w:rPr>
              <w:t>10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rPr>
                <w:sz w:val="26"/>
                <w:szCs w:val="26"/>
              </w:rPr>
            </w:pPr>
            <w:r w:rsidRPr="006721BD">
              <w:rPr>
                <w:b/>
                <w:bCs/>
                <w:sz w:val="26"/>
                <w:szCs w:val="26"/>
              </w:rPr>
              <w:t>Chi sự nghiệp thể dục thể thao</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c>
          <w:tcPr>
            <w:tcW w:w="1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21BD" w:rsidRDefault="006721BD">
            <w:pPr>
              <w:spacing w:before="120"/>
              <w:jc w:val="right"/>
              <w:rPr>
                <w:sz w:val="26"/>
                <w:szCs w:val="26"/>
              </w:rPr>
            </w:pPr>
            <w:r w:rsidRPr="006721BD">
              <w:rPr>
                <w:b/>
                <w:bCs/>
                <w:sz w:val="26"/>
                <w:szCs w:val="26"/>
              </w:rPr>
              <w:t>0</w:t>
            </w:r>
          </w:p>
        </w:tc>
      </w:tr>
    </w:tbl>
    <w:p w:rsidR="00000000" w:rsidRPr="006721BD" w:rsidRDefault="006721BD">
      <w:pPr>
        <w:spacing w:before="120" w:after="280" w:afterAutospacing="1"/>
        <w:rPr>
          <w:sz w:val="26"/>
          <w:szCs w:val="26"/>
        </w:rPr>
      </w:pPr>
      <w:r w:rsidRPr="006721BD">
        <w:rPr>
          <w:sz w:val="26"/>
          <w:szCs w:val="26"/>
        </w:rPr>
        <w:t>Ghi chú (*) Tại các Quyết định số 2859/QĐ-BTC ngày 29/12/2022, số 322/QĐ-BTC ngày 09/3/2022, số 984/QĐ-BTC ngày 16/5/2023./.</w:t>
      </w:r>
      <w:bookmarkEnd w:id="0"/>
    </w:p>
    <w:sectPr w:rsidR="00000000" w:rsidRPr="006721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6F"/>
    <w:rsid w:val="006721BD"/>
    <w:rsid w:val="00EC2B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4429172-E0B2-4C78-BB92-BBE01CFC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3415</Words>
  <Characters>7291</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3</cp:revision>
  <cp:lastPrinted>1601-01-01T00:00:00Z</cp:lastPrinted>
  <dcterms:created xsi:type="dcterms:W3CDTF">2023-05-25T07:45:00Z</dcterms:created>
  <dcterms:modified xsi:type="dcterms:W3CDTF">2023-05-25T07:45:00Z</dcterms:modified>
</cp:coreProperties>
</file>