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0BD6">
            <w:pPr>
              <w:spacing w:before="120"/>
              <w:jc w:val="center"/>
            </w:pPr>
            <w:r>
              <w:rPr>
                <w:b/>
                <w:bCs/>
              </w:rPr>
              <w:t>NGÂN HÀNG NHÀ NƯỚC</w:t>
            </w:r>
            <w:r>
              <w:rPr>
                <w:b/>
                <w:bCs/>
              </w:rPr>
              <w:br/>
              <w:t>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0BD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0BD6">
            <w:pPr>
              <w:spacing w:before="120"/>
              <w:jc w:val="center"/>
            </w:pPr>
            <w:r>
              <w:t xml:space="preserve">Số: </w:t>
            </w:r>
            <w:bookmarkStart w:id="0" w:name="_GoBack"/>
            <w:r>
              <w:t>578/QĐ-NHNN</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0BD6">
            <w:pPr>
              <w:spacing w:before="120"/>
              <w:jc w:val="right"/>
            </w:pPr>
            <w:r>
              <w:rPr>
                <w:i/>
                <w:iCs/>
              </w:rPr>
              <w:t>Hà Nội, ngày 31 tháng 03 năm 2023</w:t>
            </w:r>
          </w:p>
        </w:tc>
      </w:tr>
    </w:tbl>
    <w:p w:rsidR="00000000" w:rsidRDefault="00C30BD6">
      <w:pPr>
        <w:spacing w:before="120" w:after="280" w:afterAutospacing="1"/>
      </w:pPr>
      <w:r>
        <w:t> </w:t>
      </w:r>
    </w:p>
    <w:p w:rsidR="00000000" w:rsidRDefault="00C30BD6">
      <w:pPr>
        <w:spacing w:before="120" w:after="280" w:afterAutospacing="1"/>
        <w:jc w:val="center"/>
      </w:pPr>
      <w:bookmarkStart w:id="1" w:name="loai_1"/>
      <w:r>
        <w:rPr>
          <w:b/>
          <w:bCs/>
        </w:rPr>
        <w:t>QUYẾT ĐỊNH</w:t>
      </w:r>
      <w:bookmarkEnd w:id="1"/>
    </w:p>
    <w:p w:rsidR="00000000" w:rsidRDefault="00C30BD6">
      <w:pPr>
        <w:spacing w:before="120" w:after="280" w:afterAutospacing="1"/>
        <w:jc w:val="center"/>
      </w:pPr>
      <w:bookmarkStart w:id="2" w:name="loai_1_name"/>
      <w:r>
        <w:t>VỀ MỨC LÃI SUẤT TIỀN GỬI BẰNG ĐỒNG VIỆT NAM CỦA NGÂN HÀNG PHÁT TRIỂN VIỆT N</w:t>
      </w:r>
      <w:r>
        <w:t>AM, NGÂN HÀNG CHÍNH SÁCH XÃ HỘI, QUỸ TÍN DỤNG NHÂN DÂN, TỔ CHỨC TÀI CHÍNH VI MÔ TẠI NGÂN HÀNG NHÀ NƯỚC VIỆT NAM</w:t>
      </w:r>
      <w:bookmarkEnd w:id="2"/>
    </w:p>
    <w:p w:rsidR="00000000" w:rsidRDefault="00C30BD6">
      <w:pPr>
        <w:spacing w:before="120" w:after="280" w:afterAutospacing="1"/>
        <w:jc w:val="center"/>
      </w:pPr>
      <w:r>
        <w:rPr>
          <w:b/>
          <w:bCs/>
        </w:rPr>
        <w:t>THỐNG ĐỐC NGÂN HÀNG NHÀ NƯỚC</w:t>
      </w:r>
    </w:p>
    <w:p w:rsidR="00000000" w:rsidRDefault="00C30BD6">
      <w:pPr>
        <w:spacing w:before="120" w:after="280" w:afterAutospacing="1"/>
      </w:pPr>
      <w:r>
        <w:rPr>
          <w:i/>
          <w:iCs/>
        </w:rPr>
        <w:t>- Căn cứ Luật Ngân hàng Nhà nước Việt Nam số 46/2010/QH12 ngày 16 tháng 6 năm 2010;</w:t>
      </w:r>
    </w:p>
    <w:p w:rsidR="00000000" w:rsidRDefault="00C30BD6">
      <w:pPr>
        <w:spacing w:before="120" w:after="280" w:afterAutospacing="1"/>
      </w:pPr>
      <w:r>
        <w:rPr>
          <w:i/>
          <w:iCs/>
        </w:rPr>
        <w:t>- Căn cứ Luật Các tổ chức tín d</w:t>
      </w:r>
      <w:r>
        <w:rPr>
          <w:i/>
          <w:iCs/>
        </w:rPr>
        <w:t>ụng số 47/2010/QH12 ngày 16 tháng 6 năm 2010 và Luật sửa đổi, bổ sung một số điều của Luật Các tổ chức tín dụng số 17/2017/QH14 ngày 20 tháng 11 năm 2017;</w:t>
      </w:r>
    </w:p>
    <w:p w:rsidR="00000000" w:rsidRDefault="00C30BD6">
      <w:pPr>
        <w:spacing w:before="120" w:after="280" w:afterAutospacing="1"/>
      </w:pPr>
      <w:r>
        <w:rPr>
          <w:i/>
          <w:iCs/>
        </w:rPr>
        <w:t>- Căn cứ Nghị định số 102/2022/NĐ-CP ngày 12 tháng 12 năm 2022 của Chính phủ quy định chức năng, nhiệ</w:t>
      </w:r>
      <w:r>
        <w:rPr>
          <w:i/>
          <w:iCs/>
        </w:rPr>
        <w:t>m vụ, quyền hạn và cơ cấu tổ chức của Ngân hàng Nhà nước Việt Nam;</w:t>
      </w:r>
    </w:p>
    <w:p w:rsidR="00000000" w:rsidRDefault="00C30BD6">
      <w:pPr>
        <w:spacing w:before="120" w:after="280" w:afterAutospacing="1"/>
      </w:pPr>
      <w:r>
        <w:rPr>
          <w:i/>
          <w:iCs/>
        </w:rPr>
        <w:t>- Theo đề nghị của Vụ trưởng Vụ Chính sách tiền tệ.</w:t>
      </w:r>
    </w:p>
    <w:p w:rsidR="00000000" w:rsidRDefault="00C30BD6">
      <w:pPr>
        <w:spacing w:before="120" w:after="280" w:afterAutospacing="1"/>
        <w:jc w:val="center"/>
      </w:pPr>
      <w:r>
        <w:rPr>
          <w:b/>
          <w:bCs/>
        </w:rPr>
        <w:t>QUYẾT ĐỊNH</w:t>
      </w:r>
    </w:p>
    <w:p w:rsidR="00000000" w:rsidRDefault="00C30BD6">
      <w:pPr>
        <w:spacing w:before="120" w:after="280" w:afterAutospacing="1"/>
      </w:pPr>
      <w:bookmarkStart w:id="3" w:name="dieu_1"/>
      <w:r>
        <w:rPr>
          <w:b/>
          <w:bCs/>
        </w:rPr>
        <w:t>Điều 1.</w:t>
      </w:r>
      <w:r>
        <w:t xml:space="preserve"> Mức lãi suất áp dụng đối với tiền gửi bằng đồng Việt Nam của Ngân hàng Phát triển Việt Nam, Ngân hàng Chính sách xã hộ</w:t>
      </w:r>
      <w:r>
        <w:t>i, Quỹ tín dụng nhân dân, Tổ chức tài chính vi mô tại Ngân hàng Nhà nước Việt Nam như sau:</w:t>
      </w:r>
      <w:bookmarkEnd w:id="3"/>
    </w:p>
    <w:p w:rsidR="00000000" w:rsidRDefault="00C30BD6">
      <w:pPr>
        <w:spacing w:before="120" w:after="280" w:afterAutospacing="1"/>
      </w:pPr>
      <w:r>
        <w:t>1. Đối với tiền gửi của Ngân hàng Phát triển Việt Nam: 0,5%/năm.</w:t>
      </w:r>
    </w:p>
    <w:p w:rsidR="00000000" w:rsidRDefault="00C30BD6">
      <w:pPr>
        <w:spacing w:before="120" w:after="280" w:afterAutospacing="1"/>
      </w:pPr>
      <w:r>
        <w:t>2. Đối với tiền gửi của Ngân hàng Chính sách xã hội: 0,5%/năm.</w:t>
      </w:r>
    </w:p>
    <w:p w:rsidR="00000000" w:rsidRDefault="00C30BD6">
      <w:pPr>
        <w:spacing w:before="120" w:after="280" w:afterAutospacing="1"/>
      </w:pPr>
      <w:r>
        <w:t xml:space="preserve">3. Đối với tiền gửi của Quỹ tín dụng </w:t>
      </w:r>
      <w:r>
        <w:t>nhân dân: 0,5%/năm.</w:t>
      </w:r>
    </w:p>
    <w:p w:rsidR="00000000" w:rsidRDefault="00C30BD6">
      <w:pPr>
        <w:spacing w:before="120" w:after="280" w:afterAutospacing="1"/>
      </w:pPr>
      <w:r>
        <w:t>4. Đối với tiền gửi của Tổ chức tài chính vi mô: 0,5%/năm.</w:t>
      </w:r>
    </w:p>
    <w:p w:rsidR="00000000" w:rsidRDefault="00C30BD6">
      <w:pPr>
        <w:spacing w:before="120" w:after="280" w:afterAutospacing="1"/>
      </w:pPr>
      <w:bookmarkStart w:id="4" w:name="dieu_2"/>
      <w:r>
        <w:rPr>
          <w:b/>
          <w:bCs/>
        </w:rPr>
        <w:t>Điều 2.</w:t>
      </w:r>
      <w:r>
        <w:t xml:space="preserve"> Quyết định này có hiệu lực thi hành kể từ ngày 03 tháng 4 năm 2023 và thay thế Quyết định số 1350/QĐ-NHNN ngày 06 tháng 8 năm 2020 của Thống đốc Ngân hàng Nhà nước về mứ</w:t>
      </w:r>
      <w:r>
        <w:t>c lãi suất tiền gửi bằng đồng Việt Nam của Ngân hàng Phát triển Việt Nam, Ngân hàng Chính sách xã hội, Quỹ Tín dụng nhân dân, Tổ chức tài chính vi mô tại Ngân hàng Nhà nước Việt Nam.</w:t>
      </w:r>
      <w:bookmarkEnd w:id="4"/>
    </w:p>
    <w:p w:rsidR="00000000" w:rsidRDefault="00C30BD6">
      <w:pPr>
        <w:spacing w:before="120" w:after="280" w:afterAutospacing="1"/>
      </w:pPr>
      <w:bookmarkStart w:id="5" w:name="dieu_3"/>
      <w:r>
        <w:rPr>
          <w:b/>
          <w:bCs/>
        </w:rPr>
        <w:lastRenderedPageBreak/>
        <w:t>Điều 3.</w:t>
      </w:r>
      <w:r>
        <w:t xml:space="preserve"> Chánh Văn phòng, Vụ trưởng Vụ Chính sách tiền tệ và Thủ trưởng cá</w:t>
      </w:r>
      <w:r>
        <w:t>c đơn vị thuộc Ngân hàng Nhà nước Việt Nam, Ngân hàng Phát triển Việt Nam, Ngân hàng Chính sách xã hội, Quỹ tín dụng nhân dân, Tổ chức tài chính vi mô chịu trách nhiệm thi hành Quyết định này./.</w:t>
      </w:r>
      <w:bookmarkEnd w:id="5"/>
    </w:p>
    <w:p w:rsidR="00000000" w:rsidRDefault="00C30BD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0BD6">
            <w:pPr>
              <w:spacing w:before="120"/>
            </w:pPr>
            <w:r>
              <w:rPr>
                <w:b/>
                <w:bCs/>
                <w:i/>
                <w:iCs/>
              </w:rPr>
              <w:br/>
              <w:t>Nơi nhận:</w:t>
            </w:r>
            <w:r>
              <w:rPr>
                <w:b/>
                <w:bCs/>
                <w:i/>
                <w:iCs/>
              </w:rPr>
              <w:br/>
            </w:r>
            <w:r>
              <w:rPr>
                <w:sz w:val="16"/>
              </w:rPr>
              <w:t>- Như Điều 3;</w:t>
            </w:r>
            <w:r>
              <w:rPr>
                <w:sz w:val="16"/>
              </w:rPr>
              <w:br/>
              <w:t>- Ban lãnh đạo NHNN;</w:t>
            </w:r>
            <w:r>
              <w:rPr>
                <w:sz w:val="16"/>
              </w:rPr>
              <w:br/>
              <w:t>- Lưu: VP, Vụ</w:t>
            </w:r>
            <w:r>
              <w:rPr>
                <w:sz w:val="16"/>
              </w:rPr>
              <w:t xml:space="preserve"> CSTT (1).NTH.Loan.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0BD6">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Phạm Thanh Hà</w:t>
            </w:r>
          </w:p>
        </w:tc>
      </w:tr>
    </w:tbl>
    <w:p w:rsidR="00000000" w:rsidRDefault="00C30BD6">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BD6"/>
    <w:rsid w:val="00C30B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A52123F-591F-4923-B143-605E4B6A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2023-06-21T07:43:00Z</dcterms:created>
  <dcterms:modified xsi:type="dcterms:W3CDTF">2023-06-21T07:43:00Z</dcterms:modified>
</cp:coreProperties>
</file>