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3"/>
        <w:gridCol w:w="5953"/>
      </w:tblGrid>
      <w:tr w:rsidR="00000000">
        <w:tc>
          <w:tcPr>
            <w:tcW w:w="369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F5373">
            <w:pPr>
              <w:spacing w:before="120"/>
              <w:jc w:val="center"/>
            </w:pPr>
            <w:r>
              <w:rPr>
                <w:b/>
                <w:bCs/>
              </w:rPr>
              <w:t>NGÂN HÀNG NHÀ NƯỚC</w:t>
            </w:r>
            <w:r>
              <w:rPr>
                <w:b/>
                <w:bCs/>
              </w:rPr>
              <w:br/>
              <w:t>VIỆT NAM</w:t>
            </w:r>
            <w:r>
              <w:rPr>
                <w:b/>
                <w:bCs/>
              </w:rPr>
              <w:br/>
              <w:t>-------</w:t>
            </w:r>
          </w:p>
        </w:tc>
        <w:tc>
          <w:tcPr>
            <w:tcW w:w="607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F5373">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69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F5373">
            <w:pPr>
              <w:spacing w:before="120"/>
              <w:jc w:val="center"/>
            </w:pPr>
            <w:r>
              <w:t xml:space="preserve">Số: </w:t>
            </w:r>
            <w:bookmarkStart w:id="0" w:name="_GoBack"/>
            <w:r>
              <w:t>576/QĐ-NHNN</w:t>
            </w:r>
            <w:bookmarkEnd w:id="0"/>
          </w:p>
        </w:tc>
        <w:tc>
          <w:tcPr>
            <w:tcW w:w="607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F5373">
            <w:pPr>
              <w:spacing w:before="120"/>
              <w:jc w:val="right"/>
            </w:pPr>
            <w:r>
              <w:rPr>
                <w:i/>
                <w:iCs/>
              </w:rPr>
              <w:t>Hà Nội, ngày 31 tháng 3 năm 2023</w:t>
            </w:r>
          </w:p>
        </w:tc>
      </w:tr>
    </w:tbl>
    <w:p w:rsidR="00000000" w:rsidRDefault="005F5373">
      <w:pPr>
        <w:spacing w:before="120" w:after="280" w:afterAutospacing="1"/>
      </w:pPr>
      <w:r>
        <w:t> </w:t>
      </w:r>
    </w:p>
    <w:p w:rsidR="00000000" w:rsidRDefault="005F5373">
      <w:pPr>
        <w:spacing w:before="120" w:after="280" w:afterAutospacing="1"/>
        <w:jc w:val="center"/>
      </w:pPr>
      <w:bookmarkStart w:id="1" w:name="loai_1"/>
      <w:r>
        <w:rPr>
          <w:b/>
          <w:bCs/>
        </w:rPr>
        <w:t>QUYẾT ĐỊNH</w:t>
      </w:r>
      <w:bookmarkEnd w:id="1"/>
    </w:p>
    <w:p w:rsidR="00000000" w:rsidRDefault="005F5373">
      <w:pPr>
        <w:spacing w:before="120" w:after="280" w:afterAutospacing="1"/>
        <w:jc w:val="center"/>
      </w:pPr>
      <w:bookmarkStart w:id="2" w:name="loai_1_name"/>
      <w:r>
        <w:t>VỀ MỨC LÃI SUẤT CHO VAY NGẮN HẠN TỐI ĐA BẰNG ĐỒNG VIỆT NAM CỦA TỔ CHỨC TÍN DỤ</w:t>
      </w:r>
      <w:r>
        <w:t>NG, CHI NHÁNH NGÂN HÀNG NƯỚC NGOÀI ĐỐI VỚI KHÁCH HÀNG VAY ĐỂ ĐÁP ỨNG NHU CẦU VỐN PHỤC VỤ MỘT SỐ LĨNH VỰC, NGÀNH KINH TẾ THEO QUY ĐỊNH TẠI THÔNG TƯ SỐ 39/2016/TT-NHNN NGÀY 30 THÁNG 12 NĂM 2016</w:t>
      </w:r>
      <w:bookmarkEnd w:id="2"/>
    </w:p>
    <w:p w:rsidR="00000000" w:rsidRDefault="005F5373">
      <w:pPr>
        <w:spacing w:before="120" w:after="280" w:afterAutospacing="1"/>
        <w:jc w:val="center"/>
      </w:pPr>
      <w:r>
        <w:rPr>
          <w:b/>
          <w:bCs/>
        </w:rPr>
        <w:t>THỐNG ĐỐC NGÂN HÀNG NHÀ NƯỚC</w:t>
      </w:r>
    </w:p>
    <w:p w:rsidR="00000000" w:rsidRDefault="005F5373">
      <w:pPr>
        <w:spacing w:before="120" w:after="280" w:afterAutospacing="1"/>
      </w:pPr>
      <w:r>
        <w:rPr>
          <w:i/>
          <w:iCs/>
        </w:rPr>
        <w:t>- Căn cứ Luật Ngân hàng Nhà nước Vi</w:t>
      </w:r>
      <w:r>
        <w:rPr>
          <w:i/>
          <w:iCs/>
        </w:rPr>
        <w:t>ệt Nam số 46/2010/QH12 ngày 16 tháng 6 năm 2010;</w:t>
      </w:r>
    </w:p>
    <w:p w:rsidR="00000000" w:rsidRDefault="005F5373">
      <w:pPr>
        <w:spacing w:before="120" w:after="280" w:afterAutospacing="1"/>
      </w:pPr>
      <w:r>
        <w:rPr>
          <w:i/>
          <w:iCs/>
        </w:rPr>
        <w:t>- Căn cứ Luật Các tổ chức tín dụng số 47/2010/QH12 ngày 16 tháng 6 năm 2010 và Luật sửa đổi, bổ sung một số điều của Luật Các tổ chức tín dụng số 17/2017/QH14 ngày 20 tháng 11 năm 2017;</w:t>
      </w:r>
    </w:p>
    <w:p w:rsidR="00000000" w:rsidRDefault="005F5373">
      <w:pPr>
        <w:spacing w:before="120" w:after="280" w:afterAutospacing="1"/>
      </w:pPr>
      <w:r>
        <w:rPr>
          <w:i/>
          <w:iCs/>
        </w:rPr>
        <w:t>- Căn cứ Nghị định số</w:t>
      </w:r>
      <w:r>
        <w:rPr>
          <w:i/>
          <w:iCs/>
        </w:rPr>
        <w:t xml:space="preserve"> 102/2022/NĐ-CP ngày 12 tháng 12 năm 2022 của Chính phủ quy định chức năng, nhiệm vụ, quyền hạn và cơ cấu tổ chức của Ngân hàng Nhà nước Việt Nam;</w:t>
      </w:r>
    </w:p>
    <w:p w:rsidR="00000000" w:rsidRDefault="005F5373">
      <w:pPr>
        <w:spacing w:before="120" w:after="280" w:afterAutospacing="1"/>
      </w:pPr>
      <w:r>
        <w:rPr>
          <w:i/>
          <w:iCs/>
        </w:rPr>
        <w:t xml:space="preserve">- Căn cứ Thông tư số 39/2016/TT-NHNN ngày 30 tháng 12 năm 2016 của Thống đốc Ngân hàng Nhà nước Việt Nam quy </w:t>
      </w:r>
      <w:r>
        <w:rPr>
          <w:i/>
          <w:iCs/>
        </w:rPr>
        <w:t>định về hoạt động cho vay của tổ chức tín dụng, chi nhánh ngân hàng nước ngoài đối với khách hàng;</w:t>
      </w:r>
    </w:p>
    <w:p w:rsidR="00000000" w:rsidRDefault="005F5373">
      <w:pPr>
        <w:spacing w:before="120" w:after="280" w:afterAutospacing="1"/>
      </w:pPr>
      <w:r>
        <w:rPr>
          <w:i/>
          <w:iCs/>
        </w:rPr>
        <w:t>- Theo đề nghị của Vụ trưởng Vụ Chính sách tiền tệ.</w:t>
      </w:r>
    </w:p>
    <w:p w:rsidR="00000000" w:rsidRDefault="005F5373">
      <w:pPr>
        <w:spacing w:before="120" w:after="280" w:afterAutospacing="1"/>
        <w:jc w:val="center"/>
      </w:pPr>
      <w:r>
        <w:rPr>
          <w:b/>
          <w:bCs/>
        </w:rPr>
        <w:t>QUYẾT ĐỊNH</w:t>
      </w:r>
    </w:p>
    <w:p w:rsidR="00000000" w:rsidRDefault="005F5373">
      <w:pPr>
        <w:spacing w:before="120" w:after="280" w:afterAutospacing="1"/>
      </w:pPr>
      <w:bookmarkStart w:id="3" w:name="dieu_1"/>
      <w:r>
        <w:rPr>
          <w:b/>
          <w:bCs/>
        </w:rPr>
        <w:t>Điều 1.</w:t>
      </w:r>
      <w:r>
        <w:t xml:space="preserve"> Mức lãi suất cho vay ngắn hạn tối đa bằng đồng Việt Nam theo quy định tại</w:t>
      </w:r>
      <w:bookmarkEnd w:id="3"/>
      <w:r>
        <w:t xml:space="preserve"> </w:t>
      </w:r>
      <w:bookmarkStart w:id="4" w:name="dc_1"/>
      <w:r>
        <w:t>khoản 2 Điều</w:t>
      </w:r>
      <w:r>
        <w:t xml:space="preserve"> 13 Thông tư số 39/2016/TT-NHNN</w:t>
      </w:r>
      <w:bookmarkEnd w:id="4"/>
      <w:r>
        <w:t xml:space="preserve"> </w:t>
      </w:r>
      <w:bookmarkStart w:id="5" w:name="dieu_1_name"/>
      <w:r>
        <w:t>ngày 30 tháng 12 năm 2016 như sau:</w:t>
      </w:r>
      <w:bookmarkEnd w:id="5"/>
    </w:p>
    <w:p w:rsidR="00000000" w:rsidRDefault="005F5373">
      <w:pPr>
        <w:spacing w:before="120" w:after="280" w:afterAutospacing="1"/>
      </w:pPr>
      <w:r>
        <w:t>1. Tổ chức tín dụng, chi nhánh ngân hàng nước ngoài (trừ Quỹ tín dụng nhân dân và Tổ chức tài chính vi mô) áp dụng mức lãi suất cho vay ngắn hạn tối đa bằng đồng Việt Nam là 4,5%/năm.</w:t>
      </w:r>
    </w:p>
    <w:p w:rsidR="00000000" w:rsidRDefault="005F5373">
      <w:pPr>
        <w:spacing w:before="120" w:after="280" w:afterAutospacing="1"/>
      </w:pPr>
      <w:r>
        <w:t>2. Qu</w:t>
      </w:r>
      <w:r>
        <w:t>ỹ tín dụng nhân dân và Tổ chức tài chính vi mô áp dụng mức lãi suất cho vay ngắn hạn tối đa bằng đồng Việt Nam là 5,5%/năm.</w:t>
      </w:r>
    </w:p>
    <w:p w:rsidR="00000000" w:rsidRDefault="005F5373">
      <w:pPr>
        <w:spacing w:before="120" w:after="280" w:afterAutospacing="1"/>
      </w:pPr>
      <w:bookmarkStart w:id="6" w:name="dieu_2"/>
      <w:r>
        <w:rPr>
          <w:b/>
          <w:bCs/>
        </w:rPr>
        <w:t>Điều 2.</w:t>
      </w:r>
      <w:bookmarkEnd w:id="6"/>
    </w:p>
    <w:p w:rsidR="00000000" w:rsidRDefault="005F5373">
      <w:pPr>
        <w:spacing w:before="120" w:after="280" w:afterAutospacing="1"/>
      </w:pPr>
      <w:r>
        <w:lastRenderedPageBreak/>
        <w:t xml:space="preserve">1. </w:t>
      </w:r>
      <w:bookmarkStart w:id="7" w:name="dieu_2_name"/>
      <w:r>
        <w:t xml:space="preserve">Quyết định này có hiệu lực thi hành kể từ ngày 03 tháng 4 năm 2023 và thay thế Quyết định số 314/QĐ-NHNN ngày 14 tháng 3 </w:t>
      </w:r>
      <w:r>
        <w:t>năm 2023 của Thống đốc Ngân hàng Nhà nước về mức lãi suất cho vay ngắn hạn tối đa bằng đồng Việt Nam của tổ chức tín dụng, chi nhánh ngân hàng nước ngoài đối với khách hàng vay để đáp ứng nhu cầu vốn phục vụ một số lĩnh vực, ngành kinh tế theo quy định tại</w:t>
      </w:r>
      <w:r>
        <w:t xml:space="preserve"> Thông tư số 39/2016/TT-NHNN ngày 30 tháng 12 năm 2016.</w:t>
      </w:r>
      <w:bookmarkEnd w:id="7"/>
    </w:p>
    <w:p w:rsidR="00000000" w:rsidRDefault="005F5373">
      <w:pPr>
        <w:spacing w:before="120" w:after="280" w:afterAutospacing="1"/>
      </w:pPr>
      <w:r>
        <w:t>2. Lãi suất áp dụng đối với các hợp đồng tín dụng, thỏa thuận cho vay được ký kết trước ngày Quyết định này có hiệu lực thi hành được tiếp tục thực hiện theo hợp đồng tín dụng, thỏa thuận cho vay đã k</w:t>
      </w:r>
      <w:r>
        <w:t>ý kết phù hợp với quy định của pháp luật tại thời điểm ký kết hợp đồng tín dụng, thỏa thuận cho vay.</w:t>
      </w:r>
    </w:p>
    <w:p w:rsidR="00000000" w:rsidRDefault="005F5373">
      <w:pPr>
        <w:spacing w:before="120" w:after="280" w:afterAutospacing="1"/>
      </w:pPr>
      <w:bookmarkStart w:id="8" w:name="dieu_3"/>
      <w:r>
        <w:rPr>
          <w:b/>
          <w:bCs/>
        </w:rPr>
        <w:t>Điều 3.</w:t>
      </w:r>
      <w:r>
        <w:t xml:space="preserve"> Chánh Văn phòng, Vụ trưởng Vụ Chính sách tiền tệ và Thủ trưởng các đơn vị thuộc Ngân hàng Nhà nước Việt Nam, tổ chức tín dụng, chi nhánh ngân hàng </w:t>
      </w:r>
      <w:r>
        <w:t>nước ngoài chịu trách nhiệm thi hành Quyết định này./.</w:t>
      </w:r>
      <w:bookmarkEnd w:id="8"/>
    </w:p>
    <w:p w:rsidR="00000000" w:rsidRDefault="005F5373">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F5373">
            <w:pPr>
              <w:spacing w:before="120"/>
            </w:pPr>
            <w:r>
              <w:rPr>
                <w:b/>
                <w:bCs/>
                <w:i/>
                <w:iCs/>
              </w:rPr>
              <w:br/>
              <w:t>Nơi nhận:</w:t>
            </w:r>
            <w:r>
              <w:rPr>
                <w:b/>
                <w:bCs/>
                <w:i/>
                <w:iCs/>
              </w:rPr>
              <w:br/>
            </w:r>
            <w:r>
              <w:rPr>
                <w:sz w:val="16"/>
              </w:rPr>
              <w:t>- Như Điều 3;</w:t>
            </w:r>
            <w:r>
              <w:rPr>
                <w:sz w:val="16"/>
              </w:rPr>
              <w:br/>
              <w:t>- Ban lãnh đạo NHNN;</w:t>
            </w:r>
            <w:r>
              <w:rPr>
                <w:sz w:val="16"/>
              </w:rPr>
              <w:br/>
              <w:t>- Lưu: VP, Vụ CSTT (1).NTH.Loan.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F5373">
            <w:pPr>
              <w:spacing w:before="120"/>
              <w:jc w:val="center"/>
            </w:pPr>
            <w:r>
              <w:rPr>
                <w:b/>
                <w:bCs/>
              </w:rPr>
              <w:t>KT. THỐNG ĐỐC</w:t>
            </w:r>
            <w:r>
              <w:rPr>
                <w:b/>
                <w:bCs/>
              </w:rPr>
              <w:br/>
              <w:t>PHÓ THỐNG ĐỐC</w:t>
            </w:r>
            <w:r>
              <w:rPr>
                <w:b/>
                <w:bCs/>
              </w:rPr>
              <w:br/>
            </w:r>
            <w:r>
              <w:rPr>
                <w:b/>
                <w:bCs/>
              </w:rPr>
              <w:br/>
            </w:r>
            <w:r>
              <w:rPr>
                <w:b/>
                <w:bCs/>
              </w:rPr>
              <w:br/>
            </w:r>
            <w:r>
              <w:rPr>
                <w:b/>
                <w:bCs/>
              </w:rPr>
              <w:br/>
            </w:r>
            <w:r>
              <w:rPr>
                <w:b/>
                <w:bCs/>
              </w:rPr>
              <w:br/>
              <w:t>Phạm Thanh Hà</w:t>
            </w:r>
          </w:p>
        </w:tc>
      </w:tr>
    </w:tbl>
    <w:p w:rsidR="00000000" w:rsidRDefault="005F5373">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73"/>
    <w:rsid w:val="005F537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73AFC35-386C-4BC3-9747-FA4C8980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2023-07-11T02:20:00Z</dcterms:created>
  <dcterms:modified xsi:type="dcterms:W3CDTF">2023-07-11T02:20:00Z</dcterms:modified>
</cp:coreProperties>
</file>