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1E75">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1E7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1E75">
            <w:pPr>
              <w:spacing w:before="120"/>
              <w:jc w:val="center"/>
            </w:pPr>
            <w:r>
              <w:t xml:space="preserve">Số: </w:t>
            </w:r>
            <w:bookmarkStart w:id="0" w:name="_GoBack"/>
            <w:r>
              <w:t>1744/QĐ-BNN-ĐĐ</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1E75">
            <w:pPr>
              <w:spacing w:before="120"/>
              <w:jc w:val="right"/>
            </w:pPr>
            <w:r>
              <w:rPr>
                <w:i/>
                <w:iCs/>
              </w:rPr>
              <w:t>Hà Nội, ngày 05 tháng 5 năm 2023</w:t>
            </w:r>
          </w:p>
        </w:tc>
      </w:tr>
    </w:tbl>
    <w:p w:rsidR="00000000" w:rsidRDefault="008C1E75">
      <w:pPr>
        <w:spacing w:before="120" w:after="280" w:afterAutospacing="1"/>
        <w:jc w:val="center"/>
      </w:pPr>
      <w:r>
        <w:t> </w:t>
      </w:r>
    </w:p>
    <w:p w:rsidR="00000000" w:rsidRDefault="008C1E75">
      <w:pPr>
        <w:spacing w:before="120" w:after="280" w:afterAutospacing="1"/>
        <w:jc w:val="center"/>
      </w:pPr>
      <w:bookmarkStart w:id="1" w:name="loai_1"/>
      <w:r>
        <w:rPr>
          <w:b/>
          <w:bCs/>
        </w:rPr>
        <w:t>QUYẾT ĐỊNH</w:t>
      </w:r>
      <w:bookmarkEnd w:id="1"/>
    </w:p>
    <w:p w:rsidR="00000000" w:rsidRDefault="008C1E75">
      <w:pPr>
        <w:spacing w:before="120" w:after="280" w:afterAutospacing="1"/>
        <w:jc w:val="center"/>
      </w:pPr>
      <w:bookmarkStart w:id="2" w:name="loai_1_name"/>
      <w:r>
        <w:t>V/V GIAO NHIỆM VỤ TRIỂN KHAI THỰC HIỆN CHƯƠNG TRÌNH TỔNG THỂ P</w:t>
      </w:r>
      <w:r>
        <w:t>HÒNG, CHỐNG THIÊN TAI QUỐC GIA</w:t>
      </w:r>
      <w:bookmarkEnd w:id="2"/>
    </w:p>
    <w:p w:rsidR="00000000" w:rsidRDefault="008C1E75">
      <w:pPr>
        <w:spacing w:before="120" w:after="280" w:afterAutospacing="1"/>
        <w:jc w:val="center"/>
      </w:pPr>
      <w:r>
        <w:rPr>
          <w:b/>
          <w:bCs/>
        </w:rPr>
        <w:t>BỘ TRƯỞNG BỘ NÔNG NGHIỆP VÀ PHÁT TRIỂN NÔNG THÔN</w:t>
      </w:r>
    </w:p>
    <w:p w:rsidR="00000000" w:rsidRDefault="008C1E75">
      <w:pPr>
        <w:spacing w:before="120" w:after="280" w:afterAutospacing="1"/>
      </w:pPr>
      <w:r>
        <w:rPr>
          <w:i/>
          <w:iCs/>
        </w:rPr>
        <w:t>Căn cứ Nghị định số 105/2022/NĐ-CP ngày 22/12/2022 của Chính phủ quy định chức năng, nhiệm vụ, quyền hạn và cơ cấu tổ chức của Bộ Nông nghiệp và Phát triển nông thôn;</w:t>
      </w:r>
    </w:p>
    <w:p w:rsidR="00000000" w:rsidRDefault="008C1E75">
      <w:pPr>
        <w:spacing w:before="120" w:after="280" w:afterAutospacing="1"/>
      </w:pPr>
      <w:r>
        <w:rPr>
          <w:i/>
          <w:iCs/>
        </w:rPr>
        <w:t>Căn cứ Qu</w:t>
      </w:r>
      <w:r>
        <w:rPr>
          <w:i/>
          <w:iCs/>
        </w:rPr>
        <w:t>yết định số 1651/QĐ-TTg ngày 30/12/2022 của Thủ tướng Chính phủ phê duyệt Chương trình tổng thể phòng, chống thiên tai quốc gia;</w:t>
      </w:r>
    </w:p>
    <w:p w:rsidR="00000000" w:rsidRDefault="008C1E75">
      <w:pPr>
        <w:spacing w:before="120" w:after="280" w:afterAutospacing="1"/>
      </w:pPr>
      <w:r>
        <w:rPr>
          <w:i/>
          <w:iCs/>
        </w:rPr>
        <w:t>Theo đề nghị của Cục trưởng Cục Quản lý đê điều và Phòng, chống thiên tai.</w:t>
      </w:r>
    </w:p>
    <w:p w:rsidR="00000000" w:rsidRDefault="008C1E75">
      <w:pPr>
        <w:spacing w:before="120" w:after="280" w:afterAutospacing="1"/>
        <w:jc w:val="center"/>
      </w:pPr>
      <w:r>
        <w:rPr>
          <w:b/>
          <w:bCs/>
        </w:rPr>
        <w:t>QUYẾT ĐỊNH:</w:t>
      </w:r>
    </w:p>
    <w:p w:rsidR="00000000" w:rsidRDefault="008C1E75">
      <w:pPr>
        <w:spacing w:before="120" w:after="280" w:afterAutospacing="1"/>
      </w:pPr>
      <w:bookmarkStart w:id="3" w:name="dieu_1"/>
      <w:r>
        <w:rPr>
          <w:b/>
          <w:bCs/>
        </w:rPr>
        <w:t>Điều 1.</w:t>
      </w:r>
      <w:r>
        <w:t xml:space="preserve"> Ban hành kèm theo Quyết định này</w:t>
      </w:r>
      <w:r>
        <w:t xml:space="preserve"> phân công nhiệm vụ triển khai thực hiện Chương trình tổng thể phòng, chống thiên tai quốc gia.</w:t>
      </w:r>
      <w:bookmarkEnd w:id="3"/>
    </w:p>
    <w:p w:rsidR="00000000" w:rsidRDefault="008C1E75">
      <w:pPr>
        <w:spacing w:before="120" w:after="280" w:afterAutospacing="1"/>
      </w:pPr>
      <w:r>
        <w:t>Các đơn vị được giao chủ trì thực hiện xây dựng kế hoạch triển khai nhiệm vụ (30 ngày sau khi ban hành Quyết định này), trong đó xác định rõ sản phẩm, thời gian</w:t>
      </w:r>
      <w:r>
        <w:t>, nguồn kinh phí, tổng kinh phí thực hiện (nếu có); định kỳ gửi báo cáo kết quả thực hiện vào ngày 20/6 và 20/12 hàng năm về Cục Quản lý đê điều và Phòng, chống thiên tai để tổng hợp, báo cáo Bộ.</w:t>
      </w:r>
    </w:p>
    <w:p w:rsidR="00000000" w:rsidRDefault="008C1E75">
      <w:pPr>
        <w:spacing w:before="120" w:after="280" w:afterAutospacing="1"/>
      </w:pPr>
      <w:r>
        <w:t xml:space="preserve">Các Vụ Kế hoạch, Tài chính tham mưu, báo cáo Bộ bố trí kinh </w:t>
      </w:r>
      <w:r>
        <w:t>phí để các đơn vị triển khai thực hiện.</w:t>
      </w:r>
    </w:p>
    <w:p w:rsidR="00000000" w:rsidRDefault="008C1E75">
      <w:pPr>
        <w:spacing w:before="120" w:after="280" w:afterAutospacing="1"/>
      </w:pPr>
      <w:bookmarkStart w:id="4" w:name="dieu_2"/>
      <w:r>
        <w:rPr>
          <w:b/>
          <w:bCs/>
        </w:rPr>
        <w:t>Điều 2.</w:t>
      </w:r>
      <w:r>
        <w:t xml:space="preserve"> Quyết định này có hiệu lực từ ngày ký ban hành.</w:t>
      </w:r>
      <w:bookmarkEnd w:id="4"/>
    </w:p>
    <w:p w:rsidR="00000000" w:rsidRDefault="008C1E75">
      <w:pPr>
        <w:spacing w:before="120" w:after="280" w:afterAutospacing="1"/>
      </w:pPr>
      <w:bookmarkStart w:id="5" w:name="dieu_3"/>
      <w:r>
        <w:rPr>
          <w:b/>
          <w:bCs/>
        </w:rPr>
        <w:t>Điều 3.</w:t>
      </w:r>
      <w:r>
        <w:t xml:space="preserve"> Chánh Văn phòng Bộ, Cục trưởng Cục Quản lý đê điều và Phòng, chống thiên tai, các Vụ trưởng, Cục trưởng, Chánh Thanh tra Bộ và Thủ trưởng các cơ quan, đ</w:t>
      </w:r>
      <w:r>
        <w:t>ơn vị có liên quan chịu trách nhiệm thi hành Quyết định này./.</w:t>
      </w:r>
      <w:bookmarkEnd w:id="5"/>
    </w:p>
    <w:p w:rsidR="00000000" w:rsidRDefault="008C1E7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1E75">
            <w:pPr>
              <w:spacing w:before="120"/>
            </w:pPr>
            <w:r>
              <w:rPr>
                <w:b/>
                <w:bCs/>
                <w:i/>
                <w:iCs/>
              </w:rPr>
              <w:br/>
              <w:t>Nơi nhận:</w:t>
            </w:r>
            <w:r>
              <w:rPr>
                <w:b/>
                <w:bCs/>
                <w:i/>
                <w:iCs/>
              </w:rPr>
              <w:br/>
            </w:r>
            <w:r>
              <w:rPr>
                <w:sz w:val="16"/>
              </w:rPr>
              <w:t>- Như Điều 3;</w:t>
            </w:r>
            <w:r>
              <w:rPr>
                <w:sz w:val="16"/>
              </w:rPr>
              <w:br/>
            </w:r>
            <w:r>
              <w:rPr>
                <w:sz w:val="16"/>
              </w:rPr>
              <w:lastRenderedPageBreak/>
              <w:t>- Bộ trưởng (để b/c);</w:t>
            </w:r>
            <w:r>
              <w:rPr>
                <w:sz w:val="16"/>
              </w:rPr>
              <w:br/>
              <w:t>- Các Thứ trưởng;</w:t>
            </w:r>
            <w:r>
              <w:rPr>
                <w:sz w:val="16"/>
              </w:rPr>
              <w:br/>
              <w:t>- Các cơ quan, đơn vị trực thuộc Bộ;</w:t>
            </w:r>
            <w:r>
              <w:rPr>
                <w:sz w:val="16"/>
              </w:rPr>
              <w:br/>
              <w:t>- Lưu: VT, ĐĐ.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C1E75">
            <w:pPr>
              <w:spacing w:before="120"/>
              <w:jc w:val="center"/>
            </w:pPr>
            <w:r>
              <w:rPr>
                <w:b/>
                <w:bCs/>
              </w:rPr>
              <w:lastRenderedPageBreak/>
              <w:t xml:space="preserve">KT. BỘ TRƯỞNG </w:t>
            </w:r>
            <w:r>
              <w:rPr>
                <w:b/>
                <w:bCs/>
              </w:rPr>
              <w:br/>
              <w:t xml:space="preserve">THỨ TRƯỞNG </w:t>
            </w:r>
            <w:r>
              <w:rPr>
                <w:b/>
                <w:bCs/>
              </w:rPr>
              <w:br/>
            </w:r>
            <w:r>
              <w:rPr>
                <w:b/>
                <w:bCs/>
              </w:rPr>
              <w:br/>
            </w:r>
            <w:r>
              <w:rPr>
                <w:b/>
                <w:bCs/>
              </w:rPr>
              <w:lastRenderedPageBreak/>
              <w:br/>
            </w:r>
            <w:r>
              <w:rPr>
                <w:b/>
                <w:bCs/>
              </w:rPr>
              <w:br/>
            </w:r>
            <w:r>
              <w:rPr>
                <w:b/>
                <w:bCs/>
              </w:rPr>
              <w:br/>
              <w:t>Nguyễn Hoàng Hiệp</w:t>
            </w:r>
          </w:p>
        </w:tc>
      </w:tr>
    </w:tbl>
    <w:p w:rsidR="00000000" w:rsidRDefault="008C1E75">
      <w:pPr>
        <w:spacing w:before="120" w:after="280" w:afterAutospacing="1"/>
        <w:jc w:val="center"/>
      </w:pPr>
      <w:r>
        <w:lastRenderedPageBreak/>
        <w:t> </w:t>
      </w:r>
    </w:p>
    <w:p w:rsidR="00000000" w:rsidRDefault="008C1E75">
      <w:pPr>
        <w:spacing w:before="120" w:after="280" w:afterAutospacing="1"/>
        <w:jc w:val="center"/>
      </w:pPr>
      <w:bookmarkStart w:id="6" w:name="chuong_pl"/>
      <w:r>
        <w:rPr>
          <w:b/>
          <w:bCs/>
        </w:rPr>
        <w:t>PHỤ LỤC</w:t>
      </w:r>
      <w:bookmarkEnd w:id="6"/>
    </w:p>
    <w:p w:rsidR="00000000" w:rsidRDefault="008C1E75">
      <w:pPr>
        <w:spacing w:before="120" w:after="280" w:afterAutospacing="1"/>
        <w:jc w:val="center"/>
      </w:pPr>
      <w:bookmarkStart w:id="7" w:name="chuong_pl_name"/>
      <w:r>
        <w:t>PHÂN CÔNG NHIỆ</w:t>
      </w:r>
      <w:r>
        <w:t>M VỤ TRIỂN KHAI THỰC HIỆN CHƯƠNG TRÌNH TỔNG THỂ PHÒNG, CHỐNG THIÊN TAI QUỐC GIA</w:t>
      </w:r>
      <w:r>
        <w:br/>
      </w:r>
      <w:bookmarkEnd w:id="7"/>
      <w:r>
        <w:rPr>
          <w:i/>
          <w:iCs/>
        </w:rPr>
        <w:t>(Kèm theo Quyết định số 1744/QĐ-BNN-ĐĐ ngày 05 tháng 05 năm 2023 của Bộ trưởng Bộ Nông nghiệp và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4626"/>
        <w:gridCol w:w="1880"/>
        <w:gridCol w:w="2178"/>
      </w:tblGrid>
      <w:tr w:rsidR="00000000">
        <w:tc>
          <w:tcPr>
            <w:tcW w:w="37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rPr>
                <w:b/>
                <w:bCs/>
              </w:rPr>
              <w:t>TT</w:t>
            </w:r>
          </w:p>
        </w:tc>
        <w:tc>
          <w:tcPr>
            <w:tcW w:w="24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rPr>
                <w:b/>
                <w:bCs/>
              </w:rPr>
              <w:t>NỘI DUNG</w:t>
            </w:r>
          </w:p>
        </w:tc>
        <w:tc>
          <w:tcPr>
            <w:tcW w:w="100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rPr>
                <w:b/>
                <w:bCs/>
              </w:rPr>
              <w:t>Đơn vị chủ trì</w:t>
            </w:r>
          </w:p>
        </w:tc>
        <w:tc>
          <w:tcPr>
            <w:tcW w:w="116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rPr>
                <w:b/>
                <w:bCs/>
              </w:rPr>
              <w:t>Đơn vị phối hợp</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bookmarkStart w:id="8" w:name="muc_a"/>
            <w:r>
              <w:rPr>
                <w:b/>
                <w:bCs/>
              </w:rPr>
              <w:t>A</w:t>
            </w:r>
            <w:bookmarkEnd w:id="8"/>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bookmarkStart w:id="9" w:name="muc_a_name"/>
            <w:r>
              <w:rPr>
                <w:b/>
                <w:bCs/>
              </w:rPr>
              <w:t xml:space="preserve">HOÀN THIỆN </w:t>
            </w:r>
            <w:r>
              <w:rPr>
                <w:b/>
                <w:bCs/>
              </w:rPr>
              <w:t>THỂ CHẾ, CHÍNH SÁCH VÀ NĂNG LỰC QUẢN LÝ ĐIỀU HÀNH TRONG PHÒNG, CHỐNG THIÊN TAI</w:t>
            </w:r>
            <w:bookmarkEnd w:id="9"/>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rPr>
                <w:b/>
                <w:bCs/>
              </w:rPr>
              <w:t>I</w:t>
            </w:r>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rPr>
                <w:b/>
                <w:bCs/>
              </w:rPr>
              <w:t>Hoàn thiện hệ thống pháp luật, cơ chế chính sách</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 xml:space="preserve">Rà soát, cập nhật, hoàn thiện các pháp luật chuyên ngành về phòng, chống thiên tai và các pháp luật </w:t>
            </w:r>
            <w:r>
              <w:t>khác có liên quan đến công tác phòng, chống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Pháp chế, các Bộ ngành,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cơ chế chính sách để huy động các nguồn lực xã hội, đặc biệt là từ khu vực tư nhân tham gia phòng, c</w:t>
            </w:r>
            <w:r>
              <w:t>hống, khắc phục hậu quả thiên tai; chính sách hỗ trợ, đảm bảo an toàn cho người dân ở vùng có nguy cơ cao về thiên tai; chính sách đặc thù đối với hoạt động hỗ trợ khẩn cấp, phục hồi và tái thiết sau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Pháp chế,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3</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chính sách hỗ trợ nhằm thúc đẩy nghiên cứu, chuyển giao công nghệ và truyền thông trong phòng, chống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 xml:space="preserve">Vụ Pháp chế, Vụ Khoa học, Công nghệ và môi trường và </w:t>
            </w:r>
            <w:r>
              <w:t>các Bộ ngành liên quan</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rPr>
                <w:b/>
                <w:bCs/>
              </w:rPr>
              <w:t>II</w:t>
            </w:r>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rPr>
                <w:b/>
                <w:bCs/>
              </w:rPr>
              <w:t>Hoàn thiện hệ thống quy chuẩn, tiêu chuẩn, định mức kinh tế - kỹ thuật</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4</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Cập nhật, hoà</w:t>
            </w:r>
            <w:r>
              <w:t>n thiện, bổ sung hệ thống tiêu chuẩn kỹ thuật, quy chuẩn quốc gia trong lĩnh vực phòng, chống thiên tai và có liên quan đến công tác phòng, chống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Khoa học, Công nghệ và môi trường, các Bộ ngành liê</w:t>
            </w:r>
            <w:r>
              <w:t>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5</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Rà soát, cập nhật, hoàn thiện, bổ sung hệ thống định mức kinh tế - kỹ thuật có liên quan đến công tác phòng, chống, khắc phục hậu quả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Khoa học, Công nghệ và môi trường, các đơn vị liên qu</w:t>
            </w:r>
            <w:r>
              <w:t>an</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rPr>
                <w:b/>
                <w:bCs/>
              </w:rPr>
              <w:lastRenderedPageBreak/>
              <w:t>III</w:t>
            </w:r>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rPr>
                <w:b/>
                <w:bCs/>
              </w:rPr>
              <w:t>Hoàn thiện tổ chức</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6</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đề án hoàn thiện mô hình tổ chức quản lý, chỉ đạo điều hành các hoạt động phòng, chống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Tổ chức cán bộ</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 và các đơn vị liên</w:t>
            </w:r>
            <w:r>
              <w:t xml:space="preserve">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7</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Rà soát, củng cố hệ thống các tổ chức đào tạo, tư vấn hỗ trợ hoạt động phòng, chống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Tổ chức cán bộ</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 Bộ Nội vụ,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8</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 xml:space="preserve">Xây dựng mô hình điểm về chủ động phòng, chống thiên </w:t>
            </w:r>
            <w:r>
              <w:t>tai gắn với xây dựng nông thôn mới;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Văn phòng điều phối nông thôn mới Trung ương, Cục Kinh tế hợp tác và Phát triển nông thôn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9</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Tổng kết mô hình hoạt động của lượng xung kích phòng, chống thiên tai cấp xã</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 xml:space="preserve">Cục </w:t>
            </w:r>
            <w:r>
              <w:t>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Các Bộ ngành liên quan</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bookmarkStart w:id="10" w:name="muc_b"/>
            <w:r>
              <w:rPr>
                <w:b/>
                <w:bCs/>
              </w:rPr>
              <w:t>B</w:t>
            </w:r>
            <w:bookmarkEnd w:id="10"/>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bookmarkStart w:id="11" w:name="muc_b_name"/>
            <w:r>
              <w:rPr>
                <w:b/>
                <w:bCs/>
              </w:rPr>
              <w:t>NÂNG CAO NHẬN THỨC, KỸ NĂNG PHÒNG CHỐNG THIÊN TAI</w:t>
            </w:r>
            <w:bookmarkEnd w:id="11"/>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10</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Triển khai thực hiện Đề án nâng ca</w:t>
            </w:r>
            <w:r>
              <w:t>o nhận thức cộng đồng và quản lý rủi ro thiên tai dựa vào cộng đồng (đã được Thủ tướng Chính phủ phê duyệt tại Quyết định số 553/QĐ-TTg ngày 06 tháng 4 năm 2021)</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Các Bộ ngành liên quan</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bookmarkStart w:id="12" w:name="muc_c"/>
            <w:r>
              <w:rPr>
                <w:b/>
                <w:bCs/>
              </w:rPr>
              <w:t>C</w:t>
            </w:r>
            <w:bookmarkEnd w:id="12"/>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bookmarkStart w:id="13" w:name="muc_c_name"/>
            <w:r>
              <w:rPr>
                <w:b/>
                <w:bCs/>
              </w:rPr>
              <w:t>NÂNG CAO NĂNG LỰC DỰ B</w:t>
            </w:r>
            <w:r>
              <w:rPr>
                <w:b/>
                <w:bCs/>
              </w:rPr>
              <w:t>ÁO, CẢNH BÁO THIÊN TAI</w:t>
            </w:r>
            <w:bookmarkEnd w:id="13"/>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11</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cơ sở dữ liệu phục vụ hỗ trợ ra quyết định chỉ đạo điều hành ứng phó các loại hình thiên tai phổ biến theo thời gian thực</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w:t>
            </w:r>
            <w:r>
              <w:t xml:space="preserve"> lý đê điều và Phòng, chống thiên tai (Văn phòng thường trực Ban Chỉ đạo)</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12</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hệ thống quan trắc, cảnh báo về lũ quét, sạt lở đất tại các khu vực có nguy cơ cao.</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Kế hoạch, Vụ Tà</w:t>
            </w:r>
            <w:r>
              <w:t>i chính,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13</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công cụ, hệ thống quan trắc khí tượng thủy văn chuyên dùng phục vụ công tác vận hành hồ chứa thủy lợi; hệ thống dự báo, cảnh báo hạn hán, xâm nhập mặn.</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Thủy lợi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 c</w:t>
            </w:r>
            <w:r>
              <w:t>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14</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 xml:space="preserve">Xây dựng công cụ tính toán, nâng cao năng lực quan trắc, dự báo, cảnh báo an toàn hồ đập, cảnh báo lũ lớn, xả lũ khẩn cấp; rà soát hoàn </w:t>
            </w:r>
            <w:r>
              <w:lastRenderedPageBreak/>
              <w:t>thiện các quy trình vận hành hồ chứa thượng nguồn.</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lastRenderedPageBreak/>
              <w:t>Cục Thủy lợi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Các đơn vị liên quan</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bookmarkStart w:id="14" w:name="muc_d"/>
            <w:r>
              <w:rPr>
                <w:b/>
                <w:bCs/>
              </w:rPr>
              <w:t>D</w:t>
            </w:r>
            <w:bookmarkEnd w:id="14"/>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bookmarkStart w:id="15" w:name="muc_d_name"/>
            <w:r>
              <w:rPr>
                <w:b/>
                <w:bCs/>
              </w:rPr>
              <w:t>TĂNG CƯỜ</w:t>
            </w:r>
            <w:r>
              <w:rPr>
                <w:b/>
                <w:bCs/>
              </w:rPr>
              <w:t>NG KHẢ NĂNG CHỐNG CHỊU CỦA CƠ SỞ HẠ TẦNG</w:t>
            </w:r>
            <w:bookmarkEnd w:id="15"/>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15</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củng cố, nâng cấp các tuyến đê sông, đê biển theo quy hoạch phòng, chống lũ và đê điều. Từng bước đầu t</w:t>
            </w:r>
            <w:r>
              <w:t>ư xử lý dứt điểm những trọng điểm đê điều xung yếu, nhất là trên hệ thống sông Hồng, sông Thái Bình, sông Mã; sửa chữa, nâng cấp, xây dựng mới thay thế các cống dưới đê</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Kế hoạch, UBND các tỉnh, thành phố</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16</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Đầu tư sửa chữa dứt điểm đập, hồ chứa thủy lợi bị hư hỏng, xuống cấp; từng bước đầu tư nâng cấp, xây dựng bổ sung đập, hồ chứa và hệ thống thủy lợi để bảo đảm an ninh nguồn nước; nâng cao năng lực quản lý, theo dõi, giám sát, vận hành hồ đập, hệ thống thủ</w:t>
            </w:r>
            <w:r>
              <w:t>y lợi lớn, hướng tới vận hành theo thời gian thực.</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Thủy lợi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Kế hoạch, UBND các tỉnh, TP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17</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Nâng cấp các công trình cảng cá, kết hợp làm nơi neo đậu tránh, trú bão và thông tin, hậu cần nghề cá; ưu tiên đầu tư xây dựng các khu n</w:t>
            </w:r>
            <w:r>
              <w:t>eo đậu tránh trú bão cấp vùng tại các đảo và các khu vực trọng điểm.</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Thủy sản</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Kế hoạch, Cục Thủy sản, UBND các tỉnh, TP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18</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Triển khai thực hiện có hiệu quả Đề án phòng, chống sạt lở bờ sông, bờ biển đến năm 2030 theo Quyết định</w:t>
            </w:r>
            <w:r>
              <w:t xml:space="preserve"> số 957/QĐ-TTg ngày 06 tháng 7 năm 2020 của Thủ tướng Chính phủ.</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UBND các tỉnh, TP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19</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Xây dựng công trình phòng, chống lũ quét, sạt lở đất tại một số khu vực có nguy cơ cao xảy ra lũ quét,</w:t>
            </w:r>
            <w:r>
              <w:t xml:space="preserve"> sạt lở đất ảnh hưởng đến an toàn dân cư.</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UBND các tỉnh, TP Các đơn vị liên quan</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bookmarkStart w:id="16" w:name="muc_dd"/>
            <w:r>
              <w:rPr>
                <w:b/>
                <w:bCs/>
              </w:rPr>
              <w:t>Đ</w:t>
            </w:r>
            <w:bookmarkEnd w:id="16"/>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bookmarkStart w:id="17" w:name="muc_dd_name"/>
            <w:r>
              <w:rPr>
                <w:b/>
                <w:bCs/>
              </w:rPr>
              <w:t>NÂNG CAO KHẢ NĂNG PHỤC HỒI VÀ TÁI THIẾT SAU THIÊN TAI</w:t>
            </w:r>
            <w:bookmarkEnd w:id="17"/>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20</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Ứng dụng công nghệ, chuyển đổi số trong thống kê, đánh giá thiệt hại và xác định nhu cầu khắc phục hậu quả sau thiên tai theo quy định tại Nghị định số 66/2021/NĐ-CP ngày 06 tháng 7 năm 2021; rà soát, xây dựng hệ thố</w:t>
            </w:r>
            <w:r>
              <w:t>ng chỉ tiêu thống kê, đánh giá nhanh và đầy đủ thiệt hại do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21</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Nâng cao năng lực cứu trợ khẩn cấp, khôi phục sản xuất, khắc phục cơ sở hạ tầng thiết yếu đảm bảo nhanh chóng, kịp</w:t>
            </w:r>
            <w:r>
              <w:t xml:space="preserve"> thời và bền vững trên quan điểm “xây dựng lại tốt hơn”; đa dạng hóa nguồn lực cho khắc phục hậu quả thiên tai; tăng cường hợp tác quốc tế; ưu tiên huy động nguồn lực từ các định chế tài chính quốc tế, các tổ chức phi chính phủ</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w:t>
            </w:r>
            <w:r>
              <w:t>,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Các đơn vị liên quan</w:t>
            </w:r>
          </w:p>
        </w:tc>
      </w:tr>
      <w:tr w:rsidR="008C1E75" w:rsidTr="008C1E75">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bookmarkStart w:id="18" w:name="muc_e"/>
            <w:r>
              <w:rPr>
                <w:b/>
                <w:bCs/>
              </w:rPr>
              <w:t>E</w:t>
            </w:r>
            <w:bookmarkEnd w:id="18"/>
          </w:p>
        </w:tc>
        <w:tc>
          <w:tcPr>
            <w:tcW w:w="4629" w:type="pct"/>
            <w:gridSpan w:val="3"/>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bookmarkStart w:id="19" w:name="muc_e_name"/>
            <w:r>
              <w:rPr>
                <w:b/>
                <w:bCs/>
              </w:rPr>
              <w:t>NGHIÊN CỨU, ỨNG DỤNG KHOA HỌC CÔNG NGHỆ VÀ HỢP TÁC QUỐC TẾ</w:t>
            </w:r>
            <w:bookmarkEnd w:id="19"/>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22</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Nghiên cứu các giải pháp nâng cao</w:t>
            </w:r>
            <w:r>
              <w:t xml:space="preserve"> năng lực đảm bảo an toàn hồ đập, vùng hạ lưu hồ chứa thủy lợi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Thủy lợi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23</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Nâng cao năng lực dự báo hạn hán, xâm nhập mặn</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Thủy lợi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Khoa học, Công nghệ và Môi trường, Cục Quản lý đê điều và Phòng, chống thiên tai</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24</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Đẩy mạn</w:t>
            </w:r>
            <w:r>
              <w:t>h chuyển đổi số trong phòng, chống thiên tai, nâng cấp cơ sở vật chất, trang thiết bị của cơ quan tham mưu các cấp; xây dựng cơ sở dữ liệu, công cụ hỗ trợ trong phòng, chống thiên tai</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Trung tâm chuyển đổi số và</w:t>
            </w:r>
            <w:r>
              <w:t xml:space="preserve"> Thống kê Nông nghiệp,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25</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Thiết lập quan hệ đối tác với các quốc gia trong phòng, chống thiên tai; xây dựng và tổ chức hoạt động hợp tác với đối tác quốc tế để chia sẻ thông tin, kinh nghiệm, hợp tác quốc tế, đào tạo và hỗ trợ khẩn cấ</w:t>
            </w:r>
            <w:r>
              <w:t>p khắc phục hậu quả sau thiên tai. Tham gia các thỏa thuận, điều ước quốc tế về quản lý tổng hợp rủi ro thiên tai, hợp tác đa phương trong phòng, chống thiên tai như khung SENDAI, Mê Công, ASEAN</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Hợp tác quốc</w:t>
            </w:r>
            <w:r>
              <w:t xml:space="preserve"> tế và các đơn vị liên quan</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26</w:t>
            </w:r>
          </w:p>
        </w:tc>
        <w:tc>
          <w:tcPr>
            <w:tcW w:w="24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pPr>
            <w:r>
              <w:t>Huy động và tiếp nhận, điều phối có hiệu quả nguồn lực hỗ trợ của các tổ chức quốc tế (viện trợ không hoàn lại, vay ưu đãi, trao đổi chuyên gia,…)</w:t>
            </w:r>
          </w:p>
        </w:tc>
        <w:tc>
          <w:tcPr>
            <w:tcW w:w="100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Cục Quản lý đê điều và Phòng, chống thiên tai</w:t>
            </w:r>
          </w:p>
        </w:tc>
        <w:tc>
          <w:tcPr>
            <w:tcW w:w="11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8C1E75">
            <w:pPr>
              <w:spacing w:before="120"/>
              <w:jc w:val="center"/>
            </w:pPr>
            <w:r>
              <w:t>Vụ Hợp tác quốc tế và các đơn v</w:t>
            </w:r>
            <w:r>
              <w:t>ị liên quan</w:t>
            </w:r>
          </w:p>
        </w:tc>
      </w:tr>
    </w:tbl>
    <w:p w:rsidR="00000000" w:rsidRDefault="008C1E75">
      <w:pPr>
        <w:spacing w:before="120" w:after="280" w:afterAutospacing="1"/>
      </w:pPr>
      <w:r>
        <w:t> </w:t>
      </w:r>
    </w:p>
    <w:p w:rsidR="00000000" w:rsidRDefault="008C1E75">
      <w:pPr>
        <w:spacing w:before="120" w:after="280" w:afterAutospacing="1"/>
      </w:pPr>
      <w:r>
        <w:rPr>
          <w:b/>
          <w:bCs/>
        </w:rPr>
        <w:t> </w:t>
      </w:r>
    </w:p>
    <w:p w:rsidR="00000000" w:rsidRDefault="008C1E75">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75"/>
    <w:rsid w:val="008C1E7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6CE431C-101F-4D62-9FCD-808B19A7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2023-05-30T09:08:00Z</dcterms:created>
  <dcterms:modified xsi:type="dcterms:W3CDTF">2023-05-30T09:08:00Z</dcterms:modified>
</cp:coreProperties>
</file>