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A19CE">
            <w:pPr>
              <w:spacing w:before="120"/>
              <w:jc w:val="center"/>
            </w:pPr>
            <w:r>
              <w:rPr>
                <w:b/>
                <w:bCs/>
              </w:rPr>
              <w:t>KIỂM TOÁN NHÀ NƯỚC</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A19CE">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A19CE">
            <w:pPr>
              <w:spacing w:before="120"/>
              <w:jc w:val="center"/>
            </w:pPr>
            <w:r>
              <w:t xml:space="preserve">Số: </w:t>
            </w:r>
            <w:bookmarkStart w:id="0" w:name="_GoBack"/>
            <w:r>
              <w:t>13/2023/QĐ-KTNN</w:t>
            </w:r>
            <w:bookmarkEnd w:id="0"/>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A19CE">
            <w:pPr>
              <w:spacing w:before="120"/>
              <w:jc w:val="right"/>
            </w:pPr>
            <w:r>
              <w:rPr>
                <w:i/>
                <w:iCs/>
              </w:rPr>
              <w:t>Hà Nội, ngày 21 tháng 11 năm 2023</w:t>
            </w:r>
          </w:p>
        </w:tc>
      </w:tr>
    </w:tbl>
    <w:p w:rsidR="00000000" w:rsidRDefault="002A19CE">
      <w:pPr>
        <w:spacing w:before="120" w:after="280" w:afterAutospacing="1"/>
      </w:pPr>
      <w:r>
        <w:rPr>
          <w:b/>
          <w:bCs/>
          <w:color w:val="000000"/>
        </w:rPr>
        <w:t> </w:t>
      </w:r>
    </w:p>
    <w:p w:rsidR="00000000" w:rsidRDefault="002A19CE">
      <w:pPr>
        <w:spacing w:before="120" w:after="280" w:afterAutospacing="1"/>
        <w:jc w:val="center"/>
      </w:pPr>
      <w:bookmarkStart w:id="1" w:name="loai_1"/>
      <w:r>
        <w:rPr>
          <w:b/>
          <w:bCs/>
          <w:color w:val="000000"/>
        </w:rPr>
        <w:t>QUYẾT ĐỊNH</w:t>
      </w:r>
      <w:bookmarkEnd w:id="1"/>
    </w:p>
    <w:p w:rsidR="00000000" w:rsidRDefault="002A19CE">
      <w:pPr>
        <w:spacing w:before="120" w:after="280" w:afterAutospacing="1"/>
        <w:jc w:val="center"/>
      </w:pPr>
      <w:bookmarkStart w:id="2" w:name="loai_1_name"/>
      <w:r>
        <w:rPr>
          <w:color w:val="000000"/>
        </w:rPr>
        <w:t>BÃI BỎ QUYẾT ĐỊNH SỐ 05/2019/QĐ-KTNN NGÀY 31 THÁNG 12 NĂM 2019 CỦA TỔNG KIỂM TOÁ</w:t>
      </w:r>
      <w:r>
        <w:rPr>
          <w:color w:val="000000"/>
        </w:rPr>
        <w:t>N NHÀ NƯỚC BAN HÀNH HƯỚNG DẪN PHƯƠNG PHÁP TIẾP CẬN KIỂM TOÁN DỰA TRÊN ĐÁNH GIÁ RỦI RO VÀ XÁC ĐỊNH TRỌNG YẾU ĐỐI VỚI LĨNH VỰC KIỂM TOÁN BÁO CÁO TÀI CHÍNH, BÁO CÁO QUYẾT TOÁN NGÂN SÁCH BỘ, NGÀNH</w:t>
      </w:r>
      <w:bookmarkEnd w:id="2"/>
    </w:p>
    <w:p w:rsidR="00000000" w:rsidRDefault="002A19CE">
      <w:pPr>
        <w:spacing w:before="120" w:after="280" w:afterAutospacing="1"/>
      </w:pPr>
      <w:r>
        <w:rPr>
          <w:i/>
          <w:iCs/>
          <w:color w:val="000000"/>
        </w:rPr>
        <w:t>Căn cứ Luật Kiểm toán nhà nước ngày 24 tháng 6 năm 2015 và Luật</w:t>
      </w:r>
      <w:r>
        <w:rPr>
          <w:i/>
          <w:iCs/>
          <w:color w:val="000000"/>
        </w:rPr>
        <w:t xml:space="preserve"> sửa đổi, bổ sung một số điều của Luật Kiểm toán nhà nước ngày 26 tháng 11 năm 2019;</w:t>
      </w:r>
    </w:p>
    <w:p w:rsidR="00000000" w:rsidRDefault="002A19CE">
      <w:pPr>
        <w:spacing w:before="120" w:after="280" w:afterAutospacing="1"/>
      </w:pPr>
      <w:r>
        <w:rPr>
          <w:i/>
          <w:iCs/>
          <w:color w:val="000000"/>
        </w:rPr>
        <w:t xml:space="preserve">Căn cứ Luật Ban hành văn bản quy phạm pháp luật ngày 22 tháng 6 năm 2015 và Luật sửa đổi, bổ sung một số điều của Luật Ban hành văn bản quy phạm pháp luật ngày 18 tháng 6 </w:t>
      </w:r>
      <w:r>
        <w:rPr>
          <w:i/>
          <w:iCs/>
          <w:color w:val="000000"/>
        </w:rPr>
        <w:t>năm 2020;</w:t>
      </w:r>
    </w:p>
    <w:p w:rsidR="00000000" w:rsidRDefault="002A19CE">
      <w:pPr>
        <w:spacing w:before="120" w:after="280" w:afterAutospacing="1"/>
      </w:pPr>
      <w:r>
        <w:rPr>
          <w:i/>
          <w:iCs/>
          <w:color w:val="000000"/>
        </w:rPr>
        <w:t>Theo đề nghị của Vụ trưởng Vụ Pháp chế;</w:t>
      </w:r>
    </w:p>
    <w:p w:rsidR="00000000" w:rsidRDefault="002A19CE">
      <w:pPr>
        <w:spacing w:before="120" w:after="280" w:afterAutospacing="1"/>
      </w:pPr>
      <w:r>
        <w:rPr>
          <w:i/>
          <w:iCs/>
          <w:color w:val="000000"/>
        </w:rPr>
        <w:t>Tổng Kiểm toán nhà nước ban hành Quyết định bãi bỏ Quyết định số 05/2019/QĐ-KTNN ngày 31 tháng 12 năm 2019 của Tổng Kiểm toán nhà nước ban hành Hướng dẫn phương pháp tiếp cận kiểm toán dựa trên đánh giá rủi</w:t>
      </w:r>
      <w:r>
        <w:rPr>
          <w:i/>
          <w:iCs/>
          <w:color w:val="000000"/>
        </w:rPr>
        <w:t xml:space="preserve"> ro và xác định trọng yếu đối với lĩnh vực kiểm toán báo cáo tài chính, báo cáo quyết toán ngân sách bộ, ngành.</w:t>
      </w:r>
    </w:p>
    <w:p w:rsidR="00000000" w:rsidRDefault="002A19CE">
      <w:pPr>
        <w:spacing w:before="120" w:after="280" w:afterAutospacing="1"/>
      </w:pPr>
      <w:bookmarkStart w:id="3" w:name="dieu_1"/>
      <w:r>
        <w:rPr>
          <w:b/>
          <w:bCs/>
          <w:color w:val="000000"/>
        </w:rPr>
        <w:t xml:space="preserve">Điều 1. </w:t>
      </w:r>
      <w:r>
        <w:rPr>
          <w:color w:val="000000"/>
        </w:rPr>
        <w:t>Bãi bỏ toàn bộ Quyết định số 05/2019/QĐ-KTNN ngày 31 tháng 12 năm 2019 của Tổng Kiểm toán nhà nước ban hành Hướng dẫn phương pháp tiếp c</w:t>
      </w:r>
      <w:r>
        <w:rPr>
          <w:color w:val="000000"/>
        </w:rPr>
        <w:t>ận kiểm toán dựa trên đánh giá rủi ro và xác định trọng yếu đối với lĩnh vực kiểm toán báo cáo tài chính, báo cáo quyết toán ngân sách bộ, ngành.</w:t>
      </w:r>
      <w:bookmarkEnd w:id="3"/>
    </w:p>
    <w:p w:rsidR="00000000" w:rsidRDefault="002A19CE">
      <w:pPr>
        <w:spacing w:before="120" w:after="280" w:afterAutospacing="1"/>
      </w:pPr>
      <w:bookmarkStart w:id="4" w:name="dieu_2"/>
      <w:r>
        <w:rPr>
          <w:b/>
          <w:bCs/>
          <w:color w:val="000000"/>
        </w:rPr>
        <w:t xml:space="preserve">Điều 2. </w:t>
      </w:r>
      <w:r>
        <w:rPr>
          <w:color w:val="000000"/>
        </w:rPr>
        <w:t>Quyết định này có hiệu lực thi hành kể từ ngày ký. Thủ trưởng các đơn vị trực thuộc Kiểm toán nhà nước</w:t>
      </w:r>
      <w:r>
        <w:rPr>
          <w:color w:val="000000"/>
        </w:rPr>
        <w:t xml:space="preserve"> và các tổ chức, cá nhân có liên quan chịu trách nhiệm thi hành Quyết định này./.</w:t>
      </w:r>
      <w:bookmarkEnd w:id="4"/>
    </w:p>
    <w:p w:rsidR="00000000" w:rsidRDefault="002A19CE">
      <w:pPr>
        <w:spacing w:before="120" w:after="280" w:afterAutospacing="1"/>
      </w:pPr>
      <w:r>
        <w:rPr>
          <w:color w:val="00000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A19CE">
            <w:pPr>
              <w:spacing w:before="120" w:after="280" w:afterAutospacing="1"/>
            </w:pPr>
            <w:r>
              <w:t> </w:t>
            </w:r>
          </w:p>
          <w:p w:rsidR="00000000" w:rsidRDefault="002A19CE">
            <w:pPr>
              <w:spacing w:before="120"/>
            </w:pPr>
            <w:r>
              <w:rPr>
                <w:b/>
                <w:bCs/>
                <w:i/>
                <w:iCs/>
              </w:rPr>
              <w:t>Nơi nhận:</w:t>
            </w:r>
            <w:r>
              <w:rPr>
                <w:b/>
                <w:bCs/>
                <w:i/>
                <w:iCs/>
              </w:rPr>
              <w:br/>
            </w:r>
            <w:r>
              <w:rPr>
                <w:sz w:val="16"/>
              </w:rPr>
              <w:t>- Ban Bí thư Trung ương Đảng;</w:t>
            </w:r>
            <w:r>
              <w:rPr>
                <w:sz w:val="16"/>
              </w:rPr>
              <w:br/>
              <w:t>- Chủ tịch Quốc hội, các Phó Chủ tịch Quốc hội;</w:t>
            </w:r>
            <w:r>
              <w:rPr>
                <w:sz w:val="16"/>
              </w:rPr>
              <w:br/>
              <w:t>- Chủ tịch nước, Phó Chủ tịch nước;</w:t>
            </w:r>
            <w:r>
              <w:rPr>
                <w:sz w:val="16"/>
              </w:rPr>
              <w:br/>
              <w:t>- Thủ tướng, các Phó Thủ tướng Chính phủ;</w:t>
            </w:r>
            <w:r>
              <w:rPr>
                <w:sz w:val="16"/>
              </w:rPr>
              <w:br/>
              <w:t>- Ủy</w:t>
            </w:r>
            <w:r>
              <w:rPr>
                <w:sz w:val="16"/>
              </w:rPr>
              <w:t xml:space="preserve"> ban Thường vụ Quốc hội;</w:t>
            </w:r>
            <w:r>
              <w:rPr>
                <w:sz w:val="16"/>
              </w:rPr>
              <w:br/>
              <w:t>- Văn phòng TW và các Ban của Đảng;</w:t>
            </w:r>
            <w:r>
              <w:rPr>
                <w:sz w:val="16"/>
              </w:rPr>
              <w:br/>
            </w:r>
            <w:r>
              <w:rPr>
                <w:sz w:val="16"/>
              </w:rPr>
              <w:lastRenderedPageBreak/>
              <w:t>- Văn phòng Chính phủ;</w:t>
            </w:r>
            <w:r>
              <w:rPr>
                <w:sz w:val="16"/>
              </w:rPr>
              <w:br/>
              <w:t>- Hội đồng Dân tộc và các Ủy ban của Quốc hội;</w:t>
            </w:r>
            <w:r>
              <w:rPr>
                <w:sz w:val="16"/>
              </w:rPr>
              <w:br/>
              <w:t>- Các Bộ, cơ quan ngang Bộ, cơ quan thuộc Chính phủ;</w:t>
            </w:r>
            <w:r>
              <w:rPr>
                <w:sz w:val="16"/>
              </w:rPr>
              <w:br/>
              <w:t>- HĐND, UBND các tỉnh, thành phố trực thuộc TW;</w:t>
            </w:r>
            <w:r>
              <w:rPr>
                <w:sz w:val="16"/>
              </w:rPr>
              <w:br/>
              <w:t>- Viện KSND tối cao, Tòa</w:t>
            </w:r>
            <w:r>
              <w:rPr>
                <w:sz w:val="16"/>
              </w:rPr>
              <w:t xml:space="preserve"> án nhân dân tối cao;</w:t>
            </w:r>
            <w:r>
              <w:rPr>
                <w:sz w:val="16"/>
              </w:rPr>
              <w:br/>
              <w:t>- Bộ Tư pháp (Cục Kiểm tra VBQPPL);</w:t>
            </w:r>
            <w:r>
              <w:rPr>
                <w:sz w:val="16"/>
              </w:rPr>
              <w:br/>
              <w:t>- Công báo;</w:t>
            </w:r>
            <w:r>
              <w:rPr>
                <w:sz w:val="16"/>
              </w:rPr>
              <w:br/>
              <w:t>- Lãnh đạo KTNN; các đơn vị trực thuộc KTNN;</w:t>
            </w:r>
            <w:r>
              <w:rPr>
                <w:sz w:val="16"/>
              </w:rPr>
              <w:br/>
              <w:t>- Lưu: VT, Vụ PC.</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A19CE">
            <w:pPr>
              <w:spacing w:before="120"/>
              <w:jc w:val="center"/>
            </w:pPr>
            <w:r>
              <w:rPr>
                <w:b/>
                <w:bCs/>
              </w:rPr>
              <w:lastRenderedPageBreak/>
              <w:t>TỔNG KIỂM TOÁN NHÀ NƯỚC</w:t>
            </w:r>
            <w:r>
              <w:rPr>
                <w:b/>
                <w:bCs/>
              </w:rPr>
              <w:br/>
            </w:r>
            <w:r>
              <w:rPr>
                <w:b/>
                <w:bCs/>
              </w:rPr>
              <w:br/>
            </w:r>
            <w:r>
              <w:rPr>
                <w:b/>
                <w:bCs/>
              </w:rPr>
              <w:br/>
            </w:r>
            <w:r>
              <w:rPr>
                <w:b/>
                <w:bCs/>
              </w:rPr>
              <w:br/>
            </w:r>
            <w:r>
              <w:rPr>
                <w:b/>
                <w:bCs/>
              </w:rPr>
              <w:br/>
              <w:t>Ngô Văn Tuấn</w:t>
            </w:r>
          </w:p>
        </w:tc>
      </w:tr>
    </w:tbl>
    <w:p w:rsidR="00000000" w:rsidRDefault="002A19CE">
      <w:pPr>
        <w:spacing w:before="120" w:after="280" w:afterAutospacing="1"/>
      </w:pPr>
      <w:r>
        <w:rPr>
          <w:color w:val="000000"/>
        </w:rPr>
        <w:t> </w:t>
      </w:r>
    </w:p>
    <w:p w:rsidR="00000000" w:rsidRDefault="002A19CE">
      <w:pPr>
        <w:spacing w:before="120" w:after="280" w:afterAutospacing="1"/>
      </w:pPr>
      <w:r>
        <w:t> </w:t>
      </w:r>
    </w:p>
    <w:p w:rsidR="00000000" w:rsidRDefault="002A19CE">
      <w:pPr>
        <w:spacing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9CE"/>
    <w:rsid w:val="002A19CE"/>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77CBEAA-0B77-40BF-9F46-92119DC0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2023-11-24T01:57:00Z</dcterms:created>
  <dcterms:modified xsi:type="dcterms:W3CDTF">2023-11-24T01:57:00Z</dcterms:modified>
</cp:coreProperties>
</file>