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2E1B">
            <w:pPr>
              <w:spacing w:before="120"/>
              <w:jc w:val="center"/>
            </w:pPr>
            <w:r>
              <w:rPr>
                <w:b/>
                <w:bCs/>
                <w:lang w:val="pl-PL"/>
              </w:rPr>
              <w:t>BỘ XÂY DỰNG</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2E1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2E1B">
            <w:pPr>
              <w:spacing w:before="120"/>
              <w:jc w:val="center"/>
            </w:pPr>
            <w:r>
              <w:rPr>
                <w:lang w:val="pl-PL"/>
              </w:rPr>
              <w:t xml:space="preserve">Số: </w:t>
            </w:r>
            <w:bookmarkStart w:id="0" w:name="_GoBack"/>
            <w:r>
              <w:rPr>
                <w:lang w:val="pl-PL"/>
              </w:rPr>
              <w:t>1149/QĐ-BXD</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2E1B">
            <w:pPr>
              <w:spacing w:before="120"/>
              <w:jc w:val="right"/>
            </w:pPr>
            <w:r>
              <w:rPr>
                <w:i/>
                <w:iCs/>
                <w:lang w:val="pl-PL"/>
              </w:rPr>
              <w:t>Hà Nội, ngày 15 tháng 11 năm 2023</w:t>
            </w:r>
          </w:p>
        </w:tc>
      </w:tr>
    </w:tbl>
    <w:p w:rsidR="00000000" w:rsidRDefault="00622E1B">
      <w:pPr>
        <w:spacing w:before="120" w:after="280" w:afterAutospacing="1"/>
        <w:jc w:val="center"/>
      </w:pPr>
      <w:r>
        <w:rPr>
          <w:b/>
          <w:bCs/>
        </w:rPr>
        <w:t> </w:t>
      </w:r>
    </w:p>
    <w:p w:rsidR="00000000" w:rsidRDefault="00622E1B">
      <w:pPr>
        <w:spacing w:before="120" w:after="280" w:afterAutospacing="1"/>
        <w:jc w:val="center"/>
      </w:pPr>
      <w:bookmarkStart w:id="1" w:name="loai_1"/>
      <w:r>
        <w:rPr>
          <w:b/>
          <w:bCs/>
        </w:rPr>
        <w:t>QUYẾT ĐỊNH</w:t>
      </w:r>
      <w:bookmarkEnd w:id="1"/>
    </w:p>
    <w:p w:rsidR="00000000" w:rsidRDefault="00622E1B">
      <w:pPr>
        <w:spacing w:before="120" w:after="280" w:afterAutospacing="1"/>
        <w:jc w:val="center"/>
      </w:pPr>
      <w:bookmarkStart w:id="2" w:name="loai_1_name"/>
      <w:r>
        <w:t xml:space="preserve">VỀ VIỆC CÔNG BỐ DANH MỤC THỦ TỤC HÀNH CHÍNH THỰC HIỆN TIẾP NHẬN VÀ TRẢ KẾT QUẢ TẠI BỘ PHẬN </w:t>
      </w:r>
      <w:r>
        <w:t>MỘT CỬA CỦA BỘ XÂY DỰNG</w:t>
      </w:r>
      <w:bookmarkEnd w:id="2"/>
    </w:p>
    <w:p w:rsidR="00000000" w:rsidRDefault="00622E1B">
      <w:pPr>
        <w:spacing w:before="120" w:after="280" w:afterAutospacing="1"/>
        <w:jc w:val="center"/>
      </w:pPr>
      <w:r>
        <w:rPr>
          <w:b/>
          <w:bCs/>
        </w:rPr>
        <w:t xml:space="preserve">BỘ TRƯỞNG BỘ XÂY DỰNG </w:t>
      </w:r>
    </w:p>
    <w:p w:rsidR="00000000" w:rsidRDefault="00622E1B">
      <w:pPr>
        <w:spacing w:before="120" w:after="280" w:afterAutospacing="1"/>
      </w:pPr>
      <w:r>
        <w:rPr>
          <w:i/>
          <w:iCs/>
        </w:rPr>
        <w:t xml:space="preserve">Căn cứ </w:t>
      </w:r>
      <w:r>
        <w:rPr>
          <w:i/>
          <w:iCs/>
          <w:lang w:val="pl-PL"/>
        </w:rPr>
        <w:t xml:space="preserve">Nghị định số 52/2022/NĐ-CP ngày 08/8/2022 của Chính phủ quy định chức năng, nhiệm vụ, quyền hạn và cơ cấu tổ chức của Bộ Xây dựng; </w:t>
      </w:r>
    </w:p>
    <w:p w:rsidR="00000000" w:rsidRDefault="00622E1B">
      <w:pPr>
        <w:spacing w:before="120" w:after="280" w:afterAutospacing="1"/>
      </w:pPr>
      <w:r>
        <w:rPr>
          <w:i/>
          <w:iCs/>
          <w:lang w:val="pl-PL"/>
        </w:rPr>
        <w:t>Căn cứ Nghị định số 61/2018/NĐ-CP ngày 23/4/2018 của Chính phủ về việc</w:t>
      </w:r>
      <w:r>
        <w:rPr>
          <w:i/>
          <w:iCs/>
          <w:lang w:val="pl-PL"/>
        </w:rPr>
        <w:t xml:space="preserve"> thực hiện cơ chế một cửa, một cửa liên thông trong giải quyết thủ tục hành chính; Nghị định 107/2021/NĐ-CP ngày 06/12/2021 của Chính phủ về sửa đổi, bổ sung một số điều của Nghị định số 61/2018/NĐ-CP ngày 23/4/2018 của Chính phủ về thực hiện cơ chế một cử</w:t>
      </w:r>
      <w:r>
        <w:rPr>
          <w:i/>
          <w:iCs/>
          <w:lang w:val="pl-PL"/>
        </w:rPr>
        <w:t>a, một cửa liên thông trong giải quyết thủ tục hành chính;</w:t>
      </w:r>
    </w:p>
    <w:p w:rsidR="00000000" w:rsidRDefault="00622E1B">
      <w:pPr>
        <w:spacing w:before="120" w:after="280" w:afterAutospacing="1"/>
      </w:pPr>
      <w:r>
        <w:rPr>
          <w:i/>
          <w:iCs/>
          <w:lang w:val="pl-PL"/>
        </w:rPr>
        <w:t>Căn cứ Thông tư số 01/2018/TT-VPCP ngày 23/11/2018 của Bộ trưởng, Chủ nhiệm Văn phòng Chính phủ hướng dẫn thi hành một số quy định của Nghị định số 61/2018/NĐ-CP ngày 23/4/2018 của Chính phủ về thự</w:t>
      </w:r>
      <w:r>
        <w:rPr>
          <w:i/>
          <w:iCs/>
          <w:lang w:val="pl-PL"/>
        </w:rPr>
        <w:t>c hiện cơ chế một cửa, một cửa liên thông trong giải quyết thủ tục hành chính</w:t>
      </w:r>
      <w:r>
        <w:rPr>
          <w:i/>
          <w:iCs/>
          <w:shd w:val="solid" w:color="FFFFFF" w:fill="auto"/>
        </w:rPr>
        <w:t xml:space="preserve">; </w:t>
      </w:r>
    </w:p>
    <w:p w:rsidR="00000000" w:rsidRDefault="00622E1B">
      <w:pPr>
        <w:spacing w:before="120" w:after="280" w:afterAutospacing="1"/>
      </w:pPr>
      <w:r>
        <w:rPr>
          <w:i/>
          <w:iCs/>
          <w:lang w:val="pl-PL"/>
        </w:rPr>
        <w:t>Theo đề nghị của Chánh Văn phòng Bộ.</w:t>
      </w:r>
    </w:p>
    <w:p w:rsidR="00000000" w:rsidRDefault="00622E1B">
      <w:pPr>
        <w:pStyle w:val="Heading2"/>
        <w:spacing w:before="120" w:after="0"/>
        <w:jc w:val="center"/>
      </w:pPr>
      <w:r>
        <w:rPr>
          <w:rFonts w:eastAsia="Arial"/>
          <w:caps/>
          <w:sz w:val="24"/>
          <w:lang w:val="pl-PL"/>
        </w:rPr>
        <w:t>QUY</w:t>
      </w:r>
      <w:r>
        <w:rPr>
          <w:rFonts w:eastAsia="Arial"/>
          <w:caps/>
          <w:sz w:val="24"/>
          <w:lang w:val="pl-PL"/>
        </w:rPr>
        <w:t>Ế</w:t>
      </w:r>
      <w:r>
        <w:rPr>
          <w:rFonts w:eastAsia="Arial"/>
          <w:caps/>
          <w:sz w:val="24"/>
          <w:lang w:val="pl-PL"/>
        </w:rPr>
        <w:t>T Đ</w:t>
      </w:r>
      <w:r>
        <w:rPr>
          <w:rFonts w:eastAsia="Arial"/>
          <w:caps/>
          <w:sz w:val="24"/>
          <w:lang w:val="pl-PL"/>
        </w:rPr>
        <w:t>Ị</w:t>
      </w:r>
      <w:r>
        <w:rPr>
          <w:rFonts w:eastAsia="Arial"/>
          <w:caps/>
          <w:sz w:val="24"/>
          <w:lang w:val="pl-PL"/>
        </w:rPr>
        <w:t>NH:</w:t>
      </w:r>
    </w:p>
    <w:p w:rsidR="00000000" w:rsidRDefault="00622E1B">
      <w:pPr>
        <w:spacing w:before="120" w:after="280" w:afterAutospacing="1"/>
      </w:pPr>
      <w:bookmarkStart w:id="3" w:name="dieu_1"/>
      <w:r>
        <w:rPr>
          <w:b/>
          <w:bCs/>
          <w:lang w:val="pl-PL"/>
        </w:rPr>
        <w:t>Điều 1.</w:t>
      </w:r>
      <w:bookmarkEnd w:id="3"/>
      <w:r>
        <w:rPr>
          <w:b/>
          <w:bCs/>
          <w:lang w:val="pl-PL"/>
        </w:rPr>
        <w:t xml:space="preserve"> </w:t>
      </w:r>
      <w:bookmarkStart w:id="4" w:name="dieu_1_name"/>
      <w:r>
        <w:rPr>
          <w:lang w:val="pl-PL"/>
        </w:rPr>
        <w:t>Công bố kèm theo Quyết định này Danh mục 38 thủ tục hành chính thực hiện tiếp nhận và trả kết quả tại Bộ phận Một cửa c</w:t>
      </w:r>
      <w:r>
        <w:rPr>
          <w:lang w:val="pl-PL"/>
        </w:rPr>
        <w:t>ủa Bộ Xây dựng.</w:t>
      </w:r>
      <w:bookmarkEnd w:id="4"/>
    </w:p>
    <w:p w:rsidR="00000000" w:rsidRDefault="00622E1B">
      <w:pPr>
        <w:spacing w:before="120" w:after="280" w:afterAutospacing="1"/>
      </w:pPr>
      <w:bookmarkStart w:id="5" w:name="dieu_2"/>
      <w:r>
        <w:rPr>
          <w:b/>
          <w:bCs/>
          <w:lang w:val="pl-PL"/>
        </w:rPr>
        <w:t>Điều 2.</w:t>
      </w:r>
      <w:bookmarkEnd w:id="5"/>
      <w:r>
        <w:rPr>
          <w:lang w:val="pl-PL"/>
        </w:rPr>
        <w:t xml:space="preserve"> </w:t>
      </w:r>
      <w:bookmarkStart w:id="6" w:name="dieu_2_name"/>
      <w:r>
        <w:rPr>
          <w:lang w:val="pl-PL"/>
        </w:rPr>
        <w:t>Quyết định này có hiệu lực thi hành kể từ ngày ký và thay thế Quyết định số 615/QĐ-BXD ngày 15/7/2022 của Bộ trưởng Bộ Xây dựng về việc công bố danh mục thủ tục hành chính thực hiện tiếp nhận và trả kết quả tại Bộ phận Một cửa của B</w:t>
      </w:r>
      <w:r>
        <w:rPr>
          <w:lang w:val="pl-PL"/>
        </w:rPr>
        <w:t>ộ Xây dựng.</w:t>
      </w:r>
      <w:bookmarkEnd w:id="6"/>
    </w:p>
    <w:p w:rsidR="00000000" w:rsidRDefault="00622E1B">
      <w:pPr>
        <w:spacing w:before="120" w:after="280" w:afterAutospacing="1"/>
      </w:pPr>
      <w:bookmarkStart w:id="7" w:name="dieu_3"/>
      <w:r>
        <w:rPr>
          <w:b/>
          <w:bCs/>
          <w:lang w:val="pl-PL"/>
        </w:rPr>
        <w:t>Điều 3.</w:t>
      </w:r>
      <w:bookmarkEnd w:id="7"/>
      <w:r>
        <w:rPr>
          <w:lang w:val="pl-PL"/>
        </w:rPr>
        <w:t xml:space="preserve"> </w:t>
      </w:r>
      <w:bookmarkStart w:id="8" w:name="dieu_3_name"/>
      <w:r>
        <w:rPr>
          <w:lang w:val="pl-PL"/>
        </w:rPr>
        <w:t>Chánh Văn phòng Bộ, Thủ trưởng các cơ quan, đơn vị, tổ chức, cá nhân có liên quan chịu trách nhiệm thi hành Quyết định này./.</w:t>
      </w:r>
      <w:bookmarkEnd w:id="8"/>
    </w:p>
    <w:p w:rsidR="00000000" w:rsidRDefault="00622E1B">
      <w:pPr>
        <w:spacing w:before="120" w:after="280" w:afterAutospacing="1"/>
      </w:pPr>
      <w:r>
        <w:rPr>
          <w:lang w:val="pl-P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2E1B">
            <w:pPr>
              <w:spacing w:before="120"/>
            </w:pPr>
            <w:r>
              <w:rPr>
                <w:b/>
                <w:bCs/>
                <w:i/>
                <w:iCs/>
              </w:rPr>
              <w:br/>
              <w:t>Nơi nhận:</w:t>
            </w:r>
            <w:r>
              <w:rPr>
                <w:b/>
                <w:bCs/>
                <w:i/>
                <w:iCs/>
              </w:rPr>
              <w:br/>
            </w:r>
            <w:r>
              <w:rPr>
                <w:sz w:val="16"/>
              </w:rPr>
              <w:lastRenderedPageBreak/>
              <w:t xml:space="preserve">- </w:t>
            </w:r>
            <w:r>
              <w:rPr>
                <w:sz w:val="16"/>
                <w:lang w:val="pl-PL"/>
              </w:rPr>
              <w:t xml:space="preserve">Như Điều 3; </w:t>
            </w:r>
            <w:r>
              <w:rPr>
                <w:sz w:val="16"/>
                <w:lang w:val="pl-PL"/>
              </w:rPr>
              <w:br/>
              <w:t>- Văn phòng Chính phủ (Cục KSTTHC);</w:t>
            </w:r>
            <w:r>
              <w:rPr>
                <w:sz w:val="16"/>
                <w:lang w:val="pl-PL"/>
              </w:rPr>
              <w:br/>
              <w:t xml:space="preserve">- Bộ trưởng Nguyễn Thanh Nghị (để báo cáo); </w:t>
            </w:r>
            <w:r>
              <w:rPr>
                <w:sz w:val="16"/>
                <w:lang w:val="pl-PL"/>
              </w:rPr>
              <w:br/>
              <w:t>-</w:t>
            </w:r>
            <w:r>
              <w:rPr>
                <w:sz w:val="16"/>
                <w:lang w:val="pl-PL"/>
              </w:rPr>
              <w:t xml:space="preserve"> Các đ/c Thứ trưởng (để biết);</w:t>
            </w:r>
            <w:r>
              <w:rPr>
                <w:sz w:val="16"/>
                <w:lang w:val="pl-PL"/>
              </w:rPr>
              <w:br/>
            </w:r>
            <w:r>
              <w:rPr>
                <w:sz w:val="16"/>
              </w:rPr>
              <w:t>- Website Bộ Xây dựng, Hệ thống thông tin giải quyết TTHC Bộ Xây dựng;</w:t>
            </w:r>
            <w:r>
              <w:rPr>
                <w:sz w:val="16"/>
              </w:rPr>
              <w:br/>
              <w:t>- TTTT (để phối hợp t/h);</w:t>
            </w:r>
            <w:r>
              <w:rPr>
                <w:sz w:val="16"/>
              </w:rPr>
              <w:br/>
              <w:t>- Bộ phận Một cửa (để t/h);</w:t>
            </w:r>
            <w:r>
              <w:rPr>
                <w:sz w:val="16"/>
              </w:rPr>
              <w:br/>
              <w:t>- Lưu: VT, VP (KSTTHC, BPMC).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2E1B">
            <w:pPr>
              <w:spacing w:before="120"/>
              <w:jc w:val="center"/>
            </w:pPr>
            <w:r>
              <w:rPr>
                <w:b/>
                <w:bCs/>
              </w:rPr>
              <w:lastRenderedPageBreak/>
              <w:t>KT. BỘ TRƯỞNG</w:t>
            </w:r>
            <w:r>
              <w:rPr>
                <w:b/>
                <w:bCs/>
              </w:rPr>
              <w:br/>
              <w:t>THỨ TRƯỞNG</w:t>
            </w:r>
            <w:r>
              <w:rPr>
                <w:b/>
                <w:bCs/>
              </w:rPr>
              <w:br/>
            </w:r>
            <w:r>
              <w:rPr>
                <w:b/>
                <w:bCs/>
              </w:rPr>
              <w:lastRenderedPageBreak/>
              <w:br/>
            </w:r>
            <w:r>
              <w:rPr>
                <w:b/>
                <w:bCs/>
              </w:rPr>
              <w:br/>
            </w:r>
            <w:r>
              <w:rPr>
                <w:b/>
                <w:bCs/>
              </w:rPr>
              <w:br/>
            </w:r>
            <w:r>
              <w:rPr>
                <w:b/>
                <w:bCs/>
              </w:rPr>
              <w:br/>
            </w:r>
            <w:r>
              <w:rPr>
                <w:b/>
                <w:bCs/>
                <w:lang w:val="nl-NL"/>
              </w:rPr>
              <w:t>Nguyễn Văn Sinh</w:t>
            </w:r>
          </w:p>
        </w:tc>
      </w:tr>
    </w:tbl>
    <w:p w:rsidR="00000000" w:rsidRDefault="00622E1B">
      <w:pPr>
        <w:spacing w:before="120" w:after="280" w:afterAutospacing="1"/>
      </w:pPr>
      <w:r>
        <w:rPr>
          <w:lang w:val="pl-PL"/>
        </w:rPr>
        <w:lastRenderedPageBreak/>
        <w:t> </w:t>
      </w:r>
    </w:p>
    <w:p w:rsidR="00000000" w:rsidRDefault="00622E1B">
      <w:pPr>
        <w:spacing w:before="120" w:after="280" w:afterAutospacing="1"/>
        <w:jc w:val="center"/>
      </w:pPr>
      <w:bookmarkStart w:id="9" w:name="chuong_pl"/>
      <w:r>
        <w:rPr>
          <w:b/>
          <w:bCs/>
          <w:lang w:val="pl-PL"/>
        </w:rPr>
        <w:t>PHỤ LỤC</w:t>
      </w:r>
      <w:bookmarkEnd w:id="9"/>
      <w:r>
        <w:rPr>
          <w:b/>
          <w:bCs/>
          <w:lang w:val="pl-PL"/>
        </w:rPr>
        <w:t xml:space="preserve"> </w:t>
      </w:r>
    </w:p>
    <w:p w:rsidR="00000000" w:rsidRDefault="00622E1B">
      <w:pPr>
        <w:spacing w:before="120" w:after="280" w:afterAutospacing="1"/>
        <w:jc w:val="center"/>
      </w:pPr>
      <w:bookmarkStart w:id="10" w:name="chuong_pl_name"/>
      <w:r>
        <w:rPr>
          <w:lang w:val="pl-PL"/>
        </w:rPr>
        <w:t xml:space="preserve">DANH MỤC THỦ </w:t>
      </w:r>
      <w:r>
        <w:rPr>
          <w:lang w:val="pl-PL"/>
        </w:rPr>
        <w:t>TỤC HÀNH CHÍNH THỰC HIỆN TIẾP NHẬN VÀ TRẢ KẾT QUẢ TẠI BỘ PHẬN MỘT CỬA CỦA BỘ XÂY DỰNG</w:t>
      </w:r>
      <w:bookmarkEnd w:id="10"/>
      <w:r>
        <w:rPr>
          <w:lang w:val="pl-PL"/>
        </w:rPr>
        <w:br/>
      </w:r>
      <w:r>
        <w:rPr>
          <w:i/>
          <w:iCs/>
          <w:lang w:val="pl-PL"/>
        </w:rPr>
        <w:t>(Ban hành kèm theo Quyết định số 1149/QĐ-BXD ngày 15 tháng 11 năm 2023 của Bộ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2"/>
        <w:gridCol w:w="1486"/>
        <w:gridCol w:w="7112"/>
      </w:tblGrid>
      <w:tr w:rsidR="00000000">
        <w:tc>
          <w:tcPr>
            <w:tcW w:w="4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rPr>
                <w:b/>
                <w:bCs/>
              </w:rPr>
              <w:t>STT</w:t>
            </w:r>
          </w:p>
        </w:tc>
        <w:tc>
          <w:tcPr>
            <w:tcW w:w="7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rPr>
                <w:b/>
                <w:bCs/>
              </w:rPr>
              <w:t>MÃ SỐ TTHC</w:t>
            </w:r>
          </w:p>
        </w:tc>
        <w:tc>
          <w:tcPr>
            <w:tcW w:w="3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rPr>
                <w:b/>
                <w:bCs/>
              </w:rPr>
              <w:t>TÊN TTHC</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1" w:name="muc_1"/>
            <w:r>
              <w:rPr>
                <w:b/>
                <w:bCs/>
              </w:rPr>
              <w:t>A. LĨNH VỰC HOẠT ĐỘNG XÂY DỰNG</w:t>
            </w:r>
            <w:bookmarkEnd w:id="11"/>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2" w:name="muc_1_pl"/>
            <w:r>
              <w:rPr>
                <w:b/>
                <w:bCs/>
              </w:rPr>
              <w:t>I. Cấp chứng chỉ hành nghề hoạt động xây dựng</w:t>
            </w:r>
            <w:bookmarkEnd w:id="12"/>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1.009960</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chứng chỉ hành nghề hoạt động xây dựng lần đầu hạng 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1.009961</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điều chỉnh hạng chứng chỉ hành nghề hoạt động xây dựng hạng 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1.009962</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lại chứng chỉ hành nghề hoạt động xây dựng hạng I (trường hợp chứng chỉ mất, hư hỏng)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4</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1.009963</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lại chứng chỉ hành nghề hoạt động xây dựng hạng I (trường hợp bị ghi sa</w:t>
            </w:r>
            <w:r>
              <w:t>i thông tin do lỗi của cơ quan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5</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1.009964</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điều chỉnh, bổ sung nội dung chứng chỉ hành nghề hoạt động xây dựng hạng 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6</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1.009965</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chuyển đổi chứng chỉ hành nghề hoạt động xây dựng hạng I của cá nhân người nước ngoài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7</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1.009925</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gia hạn chứ</w:t>
            </w:r>
            <w:r>
              <w:t>ng chỉ hành nghề hoạt động xây dựng chứng chỉ hạng I</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3" w:name="muc_2_pl"/>
            <w:r>
              <w:rPr>
                <w:b/>
                <w:bCs/>
              </w:rPr>
              <w:t>II. Cấp chứng chỉ năng lực hoạt động xây dựng</w:t>
            </w:r>
            <w:bookmarkEnd w:id="13"/>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8</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1.009966</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chứng chỉ năng lực hoạt động xây dựng lần đầu hạ</w:t>
            </w:r>
            <w:r>
              <w:t>ng 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9</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1.009967</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lại chứng chỉ năng lực hoạt động xây dựng hạng I (do mất, hư hỏng)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1.009968</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lại chứng chỉ năng lực hoạt động xây dựng hạng I (do ghi sai thông tin)</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11</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1.009969</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 xml:space="preserve">Cấp điều chỉnh, bổ sung nội dung chứng chỉ năng lực hoạt động xây </w:t>
            </w:r>
            <w:r>
              <w:t>dựng hạng 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12</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1.009926</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gia hạn chứng chỉ năng lực hoạt động xây dựng hạng I</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4" w:name="muc_3_pl"/>
            <w:r>
              <w:rPr>
                <w:b/>
                <w:bCs/>
              </w:rPr>
              <w:lastRenderedPageBreak/>
              <w:t>III. Thẩm định Báo cáo nghiên cứu khả thi, thẩm định thiết kế xây dựng triển khai sau thiết kế cơ sở</w:t>
            </w:r>
            <w:bookmarkEnd w:id="14"/>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13</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1.0099741</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Thẩm định Báo cáo nghiên cứu khả thi đầu tư xây dựng/Báo cáo nghiên cứu khả thi đầu tư xây dựng điều chỉnh.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14</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1.009942</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Thẩm định thiết kế xây dựng triển khai sau thiết kế cơ sở/ Thiết kế xây dựng triển khai sau thiết kế cơ sở điều chỉnh.</w:t>
            </w:r>
          </w:p>
        </w:tc>
      </w:tr>
      <w:tr w:rsidR="00622E1B" w:rsidTr="00622E1B">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rPr>
                <w:b/>
                <w:bCs/>
              </w:rPr>
              <w:t>IV</w:t>
            </w:r>
          </w:p>
        </w:tc>
        <w:tc>
          <w:tcPr>
            <w:tcW w:w="45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rPr>
                <w:b/>
                <w:bCs/>
              </w:rPr>
              <w:t>Công nhận tổ chức xã hội nghề nghiệp đủ điều kiện cấp chứng chỉ hành nghề hoạt động xây dựng/chứng chỉ năng lực hoạt động xâ</w:t>
            </w:r>
            <w:r>
              <w:rPr>
                <w:b/>
                <w:bCs/>
              </w:rPr>
              <w:t>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15</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1.010034</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Công nhận tổ chức xã hội nghề nghiệp đủ điều kiện cấp chứng chỉ hành nghề hoạt động xây dựng/chứng chỉ nă</w:t>
            </w:r>
            <w:r>
              <w:t>ng lực hoạt động xây dựng hạng II, hạng III cho hội viên của mình</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5" w:name="muc_2"/>
            <w:r>
              <w:rPr>
                <w:b/>
                <w:bCs/>
              </w:rPr>
              <w:t>B. LĨNH VỰC KIỂM ĐỊNH KỸ THUẬT AN TOÀN LAO ĐỘNG, GIÁM ĐỊNH TƯ PHÁP XÂY DỰNG, QUẢN LÝ CHẤT LƯỢNG CÔNG TRÌNH XÂY DỰNG</w:t>
            </w:r>
            <w:bookmarkEnd w:id="15"/>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6" w:name="muc_1_pl_1"/>
            <w:r>
              <w:rPr>
                <w:b/>
                <w:bCs/>
              </w:rPr>
              <w:t>I. Cấp giấy chứng nhận đủ điều kiện hoạt động kiểm định kỹ thuật an toàn lao động</w:t>
            </w:r>
            <w:bookmarkEnd w:id="16"/>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16</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1.002650</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Giấy chứng nhận đủ điều kiện hoạt động kiểm định kỹ thuật an toàn lao động cho các tổ chứ</w:t>
            </w:r>
            <w:r>
              <w:t xml:space="preserve">c thực hiện kiểm định đối với các máy, thiết bị, vật tư có yêu cầu nghiêm ngặt về an toàn lao động sử dụng trong thi công xây dựng (bao gồm: hệ thống cốp pha trượt; hệ thống cốp pha leo; hệ giàn thép ván khuôn trượt; máy khoan, máy ép cọc, đóng cọc chuyên </w:t>
            </w:r>
            <w:r>
              <w:t>dùng có hệ thống tời nâng; máy bơm bê tông; cần trục tháp; máy vận thăng sử dụng trong thi công xây dựng; máy thi công công trình hầm, ngầm; hệ giàn giáo thép, thanh, cột chống tổ hợp; sàn treo nâng người sử dụng trong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17</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1.002636</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Gia h</w:t>
            </w:r>
            <w:r>
              <w:t>ạn Giấy chứng nhận đủ điều kiện hoạt động kiểm định kỹ thuật an toàn lao động cho các tổ chức thực hiện kiểm định đối với các máy, thiết bị, vật tư có yêu cầu nghiêm ngặt về an toàn lao động sử dụng trong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18</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1.002613</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lại Giấy chứng n</w:t>
            </w:r>
            <w:r>
              <w:t>hận đủ điều kiện hoạt động kiểm định kỹ thuật an toàn lao động cho các tổ chức thực hiện kiểm định đối với các máy, thiết bị, vật tư có yêu cầu nghiêm ngặt về an toàn lao động sử dụng trong thi công xây dựng</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7" w:name="muc_2_pl_1"/>
            <w:r>
              <w:rPr>
                <w:b/>
                <w:bCs/>
              </w:rPr>
              <w:t>II. Cấp chứng chỉ kiểm định viên</w:t>
            </w:r>
            <w:bookmarkEnd w:id="17"/>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19</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1.002589</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chứng chỉ kiểm định viên cho các cá nhân thực hiện kiểm định đối với các máy, thiết bị, vật tư có yêu cầu nghiêm ngặt về an toàn lao động sử dụng trong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20</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1.002551</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 xml:space="preserve">Cấp </w:t>
            </w:r>
            <w:r>
              <w:t>lại chứng chỉ kiểm định viên cho các cá nhân thực hiện kiểm định đối với các máy, thiết bị, vật tư có yêu cầu nghiêm ngặt về an toàn lao động sử dụng trong thi công xây dựng</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8" w:name="muc_3_pl_1"/>
            <w:r>
              <w:rPr>
                <w:b/>
                <w:bCs/>
              </w:rPr>
              <w:t>III. Giám định tư pháp xây dựng</w:t>
            </w:r>
            <w:bookmarkEnd w:id="18"/>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21</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2.001041</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 xml:space="preserve">Bổ nhiệm và cấp thẻ giám định viên tư pháp xây dựng tại các cơ quan ở trung ương thuộc phạm vi quản lý của Bộ Xây dựng </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22</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1.011674</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Miễn nhiệm và thu hồi thẻ giám định viên tư pháp xây dựng tại các cơ quan ở trung ương thuộc ph</w:t>
            </w:r>
            <w:r>
              <w:t>ạm vi quản lý của Bộ Xây dựng</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19" w:name="muc_4_pl"/>
            <w:r>
              <w:rPr>
                <w:b/>
                <w:bCs/>
              </w:rPr>
              <w:t>IV. Quản lý chất lượng công trình xây dựng</w:t>
            </w:r>
            <w:bookmarkEnd w:id="19"/>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23</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1.009793</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Kiểm tra công tác nghiệm thu hoàn thành công trình của cơ quan chuyên môn về xây dự</w:t>
            </w:r>
            <w:r>
              <w:t xml:space="preserve">ng thuộc Bộ quản lý công trình xây dựng chuyên ngành </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24</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1.009758</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Cho ý kiến về kết quả đánh giá an toàn công trình đối với công trình chuyên ngành nằm trên địa bàn 02 tỉnh trở lên</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25</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1.009787</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Cho ý kiến về việc kéo dài thời hạn sử dụng của công trình hế</w:t>
            </w:r>
            <w:r>
              <w:t>t thời hạn sử dụng theo thiết kế nhưng có nhu cầu sử dụng tiếp (trừ trường hợp đối với nhà ở riêng lẻ)</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20" w:name="muc_3"/>
            <w:r>
              <w:rPr>
                <w:b/>
                <w:bCs/>
              </w:rPr>
              <w:t>C. LĨNH VỰC VẬT LIỆU XÂY DỰNG</w:t>
            </w:r>
            <w:bookmarkEnd w:id="20"/>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26</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1.006809</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mới Giấy chứng nhận đăng ký hoạt động thử ngh</w:t>
            </w:r>
            <w:r>
              <w:t>iệm chất lượng sản phẩm, hàng hóa vật liệu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27</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1.006814</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bổ sung, sửa đổi giấy chứng nhận đăng ký hoạt động thử nghiệm chất lượng sản phẩm, hàng hóa vật liệu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28</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1.006818</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lại giấy chứng nhận hoạt động thử nghiệm chất lượng sản phẩm</w:t>
            </w:r>
            <w:r>
              <w:t>, hàng hóa vật liệu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29</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1.006854</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Giấy chứng nhận đăng ký hoạt động chứng nhận chất lượng sản phẩm, hàng hóa vật liệu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30</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1.006856</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bổ sung, sửa đổi Giấy chứng nhận đăng ký hoạt động chứng nhận chất lượng sản phẩm, hàng hóa vật liệu</w:t>
            </w:r>
            <w:r>
              <w:t xml:space="preserve">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31</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1.006863</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lại Giấy chứng nhận đăng ký hoạt động chứng nhận chất lượng sản phẩm, hàng hóa vật liệu xây dựng</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21" w:name="muc_4"/>
            <w:r>
              <w:rPr>
                <w:b/>
                <w:bCs/>
              </w:rPr>
              <w:t>D. LĨNH VỰC CHỈ ĐỊNH TỔ CHỨC ĐÁNH GIÁ SỰ PHÙ HỢP</w:t>
            </w:r>
            <w:bookmarkEnd w:id="21"/>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32</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1.002018</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Chỉ định tổ chức đánh giá sự phù hợp hoạt động thử nghiệm, giám định, kiểm định, chứng nhận</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33</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1.000769</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Thay đổi, bổ sung phạm vi, lĩnh vực đánh giá sự phù hợp được chỉ định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34</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1.000746</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Cấp lại Quyết định chỉ định tổ chức đán</w:t>
            </w:r>
            <w:r>
              <w:t>h giá sự phù hợp</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22" w:name="muc_5"/>
            <w:r>
              <w:rPr>
                <w:b/>
                <w:bCs/>
              </w:rPr>
              <w:t>Đ. LĨNH VỰC NHÀ Ở</w:t>
            </w:r>
            <w:bookmarkEnd w:id="22"/>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35</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1.007753</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Thuê nhà ở công vụ thuộc thẩm quyền quản lý của Chính phủ</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36</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1.007755</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Thuê nhà ở công vụ thuộc thẩm quyền quản lý của Bộ Xây dựng</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37</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1.010008</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 xml:space="preserve">Công nhận chủ đầu tư dự án </w:t>
            </w:r>
            <w:r>
              <w:t>xây dựng nhà ở thuộc thẩm quyền của Bộ Xây dựng (trong trường hợp có nhiều nhà đầu tư dự án xây dựng nhà ở thương mại được chấp thuận chủ trương đầu tư theo pháp luật về đầu tư)</w:t>
            </w:r>
          </w:p>
        </w:tc>
      </w:tr>
      <w:tr w:rsidR="00622E1B" w:rsidTr="00622E1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bookmarkStart w:id="23" w:name="muc_6"/>
            <w:r>
              <w:rPr>
                <w:b/>
                <w:bCs/>
              </w:rPr>
              <w:t>E. LĨNH VỰC QUY HOẠCH - KIẾN TRÚC</w:t>
            </w:r>
            <w:bookmarkEnd w:id="23"/>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38</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jc w:val="center"/>
            </w:pPr>
            <w:r>
              <w:t>1.008881</w:t>
            </w:r>
          </w:p>
        </w:tc>
        <w:tc>
          <w:tcPr>
            <w:tcW w:w="3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2E1B">
            <w:pPr>
              <w:spacing w:before="120"/>
            </w:pPr>
            <w:r>
              <w:t>Công nhận tổ chức xã hội- nghề nghiệp, cơ sở nghiên cứu, cơ sở đào tạo đủ điều kiện thực hiện sát hạch cấp chứng chỉ hành nghề kiến trúc</w:t>
            </w:r>
          </w:p>
        </w:tc>
      </w:tr>
    </w:tbl>
    <w:p w:rsidR="00000000" w:rsidRDefault="00622E1B">
      <w:pPr>
        <w:spacing w:before="120" w:after="280" w:afterAutospacing="1"/>
      </w:pPr>
      <w:r>
        <w:t> </w:t>
      </w:r>
    </w:p>
    <w:p w:rsidR="00000000" w:rsidRDefault="00622E1B">
      <w:pPr>
        <w:spacing w:before="120" w:after="280" w:afterAutospacing="1"/>
        <w:jc w:val="both"/>
      </w:pPr>
      <w:r>
        <w:rPr>
          <w:b/>
          <w:bCs/>
          <w:lang w:val="pl-PL"/>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1B"/>
    <w:rsid w:val="00622E1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C5BACAF-DD22-416D-8627-B2EBD08F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2023-11-22T06:30:00Z</dcterms:created>
  <dcterms:modified xsi:type="dcterms:W3CDTF">2023-11-22T06:30:00Z</dcterms:modified>
</cp:coreProperties>
</file>